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7770" w:rsidRDefault="001739F2" w:rsidP="00BF5E8D">
      <w:pPr>
        <w:spacing w:afterLines="100" w:after="317"/>
        <w:jc w:val="center"/>
        <w:rPr>
          <w:rFonts w:ascii="宋体" w:hAnsi="宋体" w:cs="宋体"/>
          <w:sz w:val="44"/>
          <w:szCs w:val="44"/>
        </w:rPr>
      </w:pPr>
      <w:r>
        <w:rPr>
          <w:rFonts w:ascii="宋体" w:hAnsi="宋体" w:cs="宋体" w:hint="eastAsia"/>
          <w:sz w:val="44"/>
          <w:szCs w:val="44"/>
        </w:rPr>
        <w:t>华夏基金</w:t>
      </w:r>
      <w:r w:rsidR="00043E97">
        <w:rPr>
          <w:rFonts w:ascii="宋体" w:hAnsi="宋体" w:cs="宋体" w:hint="eastAsia"/>
          <w:sz w:val="44"/>
          <w:szCs w:val="44"/>
        </w:rPr>
        <w:t>华益1号股票型</w:t>
      </w:r>
      <w:r w:rsidR="00DD7770">
        <w:rPr>
          <w:rFonts w:ascii="宋体" w:hAnsi="宋体" w:cs="宋体" w:hint="eastAsia"/>
          <w:sz w:val="44"/>
          <w:szCs w:val="44"/>
        </w:rPr>
        <w:t>养老金产品变更内容对照表</w:t>
      </w:r>
      <w:bookmarkStart w:id="0" w:name="_GoBack"/>
      <w:bookmarkEnd w:id="0"/>
    </w:p>
    <w:tbl>
      <w:tblPr>
        <w:tblW w:w="86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1"/>
        <w:gridCol w:w="3717"/>
        <w:gridCol w:w="3654"/>
      </w:tblGrid>
      <w:tr w:rsidR="00853983" w:rsidRPr="005410E1" w:rsidTr="00557C65">
        <w:trPr>
          <w:jc w:val="center"/>
        </w:trPr>
        <w:tc>
          <w:tcPr>
            <w:tcW w:w="8642" w:type="dxa"/>
            <w:gridSpan w:val="3"/>
            <w:vAlign w:val="center"/>
          </w:tcPr>
          <w:p w:rsidR="00853983" w:rsidRPr="005410E1" w:rsidRDefault="00853983" w:rsidP="00BF5E8D">
            <w:pPr>
              <w:jc w:val="left"/>
              <w:rPr>
                <w:rFonts w:ascii="仿宋_GB2312" w:eastAsia="仿宋_GB2312"/>
                <w:b/>
                <w:sz w:val="24"/>
                <w:szCs w:val="24"/>
              </w:rPr>
            </w:pPr>
            <w:r w:rsidRPr="005410E1">
              <w:rPr>
                <w:rFonts w:ascii="仿宋_GB2312" w:eastAsia="仿宋_GB2312" w:hint="eastAsia"/>
                <w:b/>
                <w:sz w:val="24"/>
                <w:szCs w:val="24"/>
              </w:rPr>
              <w:t>注册登记业务规则变更内容</w:t>
            </w:r>
          </w:p>
        </w:tc>
      </w:tr>
      <w:tr w:rsidR="00853983" w:rsidRPr="005410E1" w:rsidTr="0013048D">
        <w:trPr>
          <w:jc w:val="center"/>
        </w:trPr>
        <w:tc>
          <w:tcPr>
            <w:tcW w:w="1271" w:type="dxa"/>
            <w:vAlign w:val="center"/>
          </w:tcPr>
          <w:p w:rsidR="00853983" w:rsidRPr="005410E1" w:rsidRDefault="00853983" w:rsidP="00BF5E8D">
            <w:pPr>
              <w:jc w:val="center"/>
              <w:rPr>
                <w:rFonts w:ascii="仿宋_GB2312" w:eastAsia="仿宋_GB2312" w:hAnsi="宋体"/>
                <w:sz w:val="24"/>
                <w:szCs w:val="24"/>
              </w:rPr>
            </w:pPr>
            <w:r w:rsidRPr="005410E1">
              <w:rPr>
                <w:rFonts w:ascii="仿宋_GB2312" w:eastAsia="仿宋_GB2312" w:hAnsi="宋体" w:hint="eastAsia"/>
                <w:sz w:val="24"/>
                <w:szCs w:val="24"/>
              </w:rPr>
              <w:t>章节</w:t>
            </w:r>
          </w:p>
        </w:tc>
        <w:tc>
          <w:tcPr>
            <w:tcW w:w="3717" w:type="dxa"/>
            <w:vAlign w:val="center"/>
          </w:tcPr>
          <w:p w:rsidR="00853983" w:rsidRPr="005410E1" w:rsidRDefault="00853983" w:rsidP="00BF5E8D">
            <w:pPr>
              <w:jc w:val="center"/>
              <w:rPr>
                <w:rFonts w:ascii="仿宋_GB2312" w:eastAsia="仿宋_GB2312" w:hAnsi="宋体"/>
                <w:sz w:val="24"/>
                <w:szCs w:val="24"/>
              </w:rPr>
            </w:pPr>
            <w:r w:rsidRPr="005410E1">
              <w:rPr>
                <w:rFonts w:ascii="仿宋_GB2312" w:eastAsia="仿宋_GB2312" w:hAnsi="宋体" w:hint="eastAsia"/>
                <w:sz w:val="24"/>
                <w:szCs w:val="24"/>
              </w:rPr>
              <w:t>原注册登记业务规则内容</w:t>
            </w:r>
          </w:p>
        </w:tc>
        <w:tc>
          <w:tcPr>
            <w:tcW w:w="3654" w:type="dxa"/>
            <w:vAlign w:val="center"/>
          </w:tcPr>
          <w:p w:rsidR="00853983" w:rsidRPr="005410E1" w:rsidRDefault="00853983" w:rsidP="00BF5E8D">
            <w:pPr>
              <w:jc w:val="center"/>
              <w:rPr>
                <w:rFonts w:ascii="仿宋_GB2312" w:eastAsia="仿宋_GB2312" w:hAnsi="宋体"/>
                <w:sz w:val="24"/>
                <w:szCs w:val="24"/>
              </w:rPr>
            </w:pPr>
            <w:r w:rsidRPr="005410E1">
              <w:rPr>
                <w:rFonts w:ascii="仿宋_GB2312" w:eastAsia="仿宋_GB2312" w:hAnsi="宋体" w:hint="eastAsia"/>
                <w:sz w:val="24"/>
                <w:szCs w:val="24"/>
              </w:rPr>
              <w:t>变更后对应内容</w:t>
            </w:r>
          </w:p>
        </w:tc>
      </w:tr>
      <w:tr w:rsidR="00DB7F28" w:rsidRPr="005410E1" w:rsidTr="0013048D">
        <w:trPr>
          <w:jc w:val="center"/>
        </w:trPr>
        <w:tc>
          <w:tcPr>
            <w:tcW w:w="1271" w:type="dxa"/>
            <w:vAlign w:val="center"/>
          </w:tcPr>
          <w:p w:rsidR="00DB7F28" w:rsidRDefault="00DB7F28" w:rsidP="00BF5E8D">
            <w:pPr>
              <w:jc w:val="center"/>
              <w:rPr>
                <w:rFonts w:ascii="仿宋_GB2312" w:eastAsia="仿宋_GB2312" w:hAnsi="宋体"/>
                <w:sz w:val="24"/>
                <w:szCs w:val="24"/>
              </w:rPr>
            </w:pPr>
            <w:r>
              <w:rPr>
                <w:rFonts w:ascii="仿宋_GB2312" w:eastAsia="仿宋_GB2312" w:hAnsi="宋体" w:hint="eastAsia"/>
                <w:sz w:val="24"/>
                <w:szCs w:val="24"/>
              </w:rPr>
              <w:t>第1条</w:t>
            </w:r>
          </w:p>
        </w:tc>
        <w:tc>
          <w:tcPr>
            <w:tcW w:w="3717" w:type="dxa"/>
            <w:vAlign w:val="center"/>
          </w:tcPr>
          <w:p w:rsidR="00DB7F28" w:rsidRPr="00DB7F28" w:rsidRDefault="00DB7F28" w:rsidP="00BF5E8D">
            <w:pPr>
              <w:jc w:val="left"/>
              <w:rPr>
                <w:rFonts w:ascii="仿宋_GB2312" w:eastAsia="仿宋_GB2312" w:hAnsi="宋体"/>
                <w:sz w:val="24"/>
                <w:szCs w:val="24"/>
              </w:rPr>
            </w:pPr>
            <w:r w:rsidRPr="00DB7F28">
              <w:rPr>
                <w:rFonts w:ascii="仿宋_GB2312" w:eastAsia="仿宋_GB2312" w:hAnsi="宋体" w:hint="eastAsia"/>
                <w:sz w:val="24"/>
                <w:szCs w:val="24"/>
              </w:rPr>
              <w:t>为保障养老金产品登记、存管、清算和交收业务的顺利实施、保护投资者的合法权益，根据《中华人民共和国证券投资基金法》、《中华人民共和国反洗钱法》、《证券投资基金运作管理办法》、《证券投资基金销售管理办法》、《企业年金基金管理办法》、《关于企业年金养老金产品有关问题的通知》及其他相关法律、行政法规、部门规章和规范性文件要求制定本规则，并可以根据业务发展、上述法律法规规章等的变更及监管要求进行修订。</w:t>
            </w:r>
          </w:p>
        </w:tc>
        <w:tc>
          <w:tcPr>
            <w:tcW w:w="3654" w:type="dxa"/>
            <w:vAlign w:val="center"/>
          </w:tcPr>
          <w:p w:rsidR="00DB7F28" w:rsidRPr="00DB7F28" w:rsidRDefault="00DB7F28" w:rsidP="00BF5E8D">
            <w:pPr>
              <w:rPr>
                <w:rFonts w:ascii="仿宋_GB2312" w:eastAsia="仿宋_GB2312" w:hAnsi="宋体"/>
                <w:sz w:val="24"/>
                <w:szCs w:val="24"/>
              </w:rPr>
            </w:pPr>
            <w:r w:rsidRPr="00DB7F28">
              <w:rPr>
                <w:rFonts w:ascii="仿宋_GB2312" w:eastAsia="仿宋_GB2312" w:hAnsi="宋体" w:hint="eastAsia"/>
                <w:sz w:val="24"/>
                <w:szCs w:val="24"/>
              </w:rPr>
              <w:t>为保障养老金产品登记、存管、清算和交收业务的顺利实施、保护投资者的合法权益，根据《中华人民共和国证券投资基金法》、《中华人民共和国反洗钱法》、《企业年金基金管理办法》、《关于企业年金养老金产品有关问题的通知》及其他相关法律、行政法规、部门规章和规范性文件要求制定本规则，并可以根据业务发展、上述法律法规规章等的变更及监管要求进行修订。</w:t>
            </w:r>
          </w:p>
          <w:p w:rsidR="00DB7F28" w:rsidRPr="00DB7F28" w:rsidRDefault="00DB7F28" w:rsidP="00BF5E8D">
            <w:pPr>
              <w:rPr>
                <w:rFonts w:ascii="仿宋_GB2312" w:eastAsia="仿宋_GB2312" w:hAnsi="宋体"/>
                <w:sz w:val="24"/>
                <w:szCs w:val="24"/>
              </w:rPr>
            </w:pPr>
          </w:p>
        </w:tc>
      </w:tr>
      <w:tr w:rsidR="00DB7F28" w:rsidRPr="005410E1" w:rsidTr="0013048D">
        <w:trPr>
          <w:jc w:val="center"/>
        </w:trPr>
        <w:tc>
          <w:tcPr>
            <w:tcW w:w="1271" w:type="dxa"/>
            <w:vAlign w:val="center"/>
          </w:tcPr>
          <w:p w:rsidR="00DB7F28" w:rsidRDefault="00DB7F28" w:rsidP="00BF5E8D">
            <w:pPr>
              <w:jc w:val="center"/>
              <w:rPr>
                <w:rFonts w:ascii="仿宋_GB2312" w:eastAsia="仿宋_GB2312" w:hAnsi="宋体"/>
                <w:sz w:val="24"/>
                <w:szCs w:val="24"/>
              </w:rPr>
            </w:pPr>
            <w:r w:rsidRPr="00DB7F28">
              <w:rPr>
                <w:rFonts w:ascii="仿宋_GB2312" w:eastAsia="仿宋_GB2312" w:hAnsi="宋体" w:hint="eastAsia"/>
                <w:sz w:val="24"/>
                <w:szCs w:val="24"/>
              </w:rPr>
              <w:t>第2条</w:t>
            </w:r>
          </w:p>
        </w:tc>
        <w:tc>
          <w:tcPr>
            <w:tcW w:w="3717" w:type="dxa"/>
            <w:vAlign w:val="center"/>
          </w:tcPr>
          <w:p w:rsidR="00DB7F28" w:rsidRPr="00191E5E" w:rsidRDefault="00DB7F28" w:rsidP="00BF5E8D">
            <w:pPr>
              <w:rPr>
                <w:rFonts w:ascii="仿宋_GB2312" w:eastAsia="仿宋_GB2312" w:hAnsi="宋体"/>
                <w:sz w:val="24"/>
                <w:szCs w:val="24"/>
              </w:rPr>
            </w:pPr>
            <w:r w:rsidRPr="00DB7F28">
              <w:rPr>
                <w:rFonts w:ascii="仿宋_GB2312" w:eastAsia="仿宋_GB2312" w:hAnsi="宋体" w:hint="eastAsia"/>
                <w:sz w:val="24"/>
                <w:szCs w:val="24"/>
              </w:rPr>
              <w:t>本规则适用于华夏基金管理有限公司（以下简称为“华夏基金”）作为登记结算机构（以下简称为“本机构”）的养老金产品，与前述基金相关的销售机构（以下简称为“销售机构”）和投资者均应遵守本规则</w:t>
            </w:r>
            <w:r>
              <w:rPr>
                <w:rFonts w:ascii="仿宋_GB2312" w:eastAsia="仿宋_GB2312" w:hAnsi="宋体" w:hint="eastAsia"/>
                <w:sz w:val="24"/>
                <w:szCs w:val="24"/>
              </w:rPr>
              <w:t>。</w:t>
            </w:r>
          </w:p>
        </w:tc>
        <w:tc>
          <w:tcPr>
            <w:tcW w:w="3654" w:type="dxa"/>
            <w:vAlign w:val="center"/>
          </w:tcPr>
          <w:p w:rsidR="00DB7F28" w:rsidRPr="00191E5E" w:rsidRDefault="00DB7F28" w:rsidP="00BF5E8D">
            <w:pPr>
              <w:rPr>
                <w:rFonts w:ascii="仿宋_GB2312" w:eastAsia="仿宋_GB2312" w:hAnsi="宋体"/>
                <w:sz w:val="24"/>
                <w:szCs w:val="24"/>
              </w:rPr>
            </w:pPr>
            <w:r w:rsidRPr="00DB7F28">
              <w:rPr>
                <w:rFonts w:ascii="仿宋_GB2312" w:eastAsia="仿宋_GB2312" w:hAnsi="宋体" w:hint="eastAsia"/>
                <w:sz w:val="24"/>
                <w:szCs w:val="24"/>
              </w:rPr>
              <w:t>本规则适用于华夏基金管理有限公司（以下简称为“华夏基金”）作为登记结算机构（以下简称为“本机构”）</w:t>
            </w:r>
            <w:r>
              <w:rPr>
                <w:rFonts w:ascii="仿宋_GB2312" w:eastAsia="仿宋_GB2312" w:hAnsi="宋体" w:hint="eastAsia"/>
                <w:sz w:val="24"/>
                <w:szCs w:val="24"/>
              </w:rPr>
              <w:t>的养老金产品，与前述</w:t>
            </w:r>
            <w:r w:rsidRPr="00DB7F28">
              <w:rPr>
                <w:rFonts w:ascii="仿宋_GB2312" w:eastAsia="仿宋_GB2312" w:hAnsi="宋体" w:hint="eastAsia"/>
                <w:sz w:val="24"/>
                <w:szCs w:val="24"/>
              </w:rPr>
              <w:t>养老金产品相关的销售机构（以下简称为“销售机构”）和投资者均应遵守本规则</w:t>
            </w:r>
            <w:r>
              <w:rPr>
                <w:rFonts w:ascii="仿宋_GB2312" w:eastAsia="仿宋_GB2312" w:hAnsi="宋体" w:hint="eastAsia"/>
                <w:sz w:val="24"/>
                <w:szCs w:val="24"/>
              </w:rPr>
              <w:t>。</w:t>
            </w:r>
          </w:p>
        </w:tc>
      </w:tr>
      <w:tr w:rsidR="00DB7F28" w:rsidRPr="005410E1" w:rsidTr="0013048D">
        <w:trPr>
          <w:jc w:val="center"/>
        </w:trPr>
        <w:tc>
          <w:tcPr>
            <w:tcW w:w="1271" w:type="dxa"/>
            <w:vAlign w:val="center"/>
          </w:tcPr>
          <w:p w:rsidR="00DB7F28" w:rsidRDefault="00DB7F28" w:rsidP="00BF5E8D">
            <w:pPr>
              <w:jc w:val="center"/>
              <w:rPr>
                <w:rFonts w:ascii="仿宋_GB2312" w:eastAsia="仿宋_GB2312" w:hAnsi="宋体"/>
                <w:sz w:val="24"/>
                <w:szCs w:val="24"/>
              </w:rPr>
            </w:pPr>
            <w:r w:rsidRPr="00DB7F28">
              <w:rPr>
                <w:rFonts w:ascii="仿宋_GB2312" w:eastAsia="仿宋_GB2312" w:hAnsi="宋体" w:hint="eastAsia"/>
                <w:sz w:val="24"/>
                <w:szCs w:val="24"/>
              </w:rPr>
              <w:t>第3条</w:t>
            </w:r>
          </w:p>
        </w:tc>
        <w:tc>
          <w:tcPr>
            <w:tcW w:w="3717" w:type="dxa"/>
            <w:vAlign w:val="center"/>
          </w:tcPr>
          <w:p w:rsidR="00DB7F28" w:rsidRPr="00191E5E" w:rsidRDefault="00DB7F28" w:rsidP="00BF5E8D">
            <w:pPr>
              <w:rPr>
                <w:rFonts w:ascii="仿宋_GB2312" w:eastAsia="仿宋_GB2312" w:hAnsi="宋体"/>
                <w:sz w:val="24"/>
                <w:szCs w:val="24"/>
              </w:rPr>
            </w:pPr>
            <w:r w:rsidRPr="00DB7F28">
              <w:rPr>
                <w:rFonts w:ascii="仿宋_GB2312" w:eastAsia="仿宋_GB2312" w:hAnsi="宋体" w:hint="eastAsia"/>
                <w:sz w:val="24"/>
                <w:szCs w:val="24"/>
              </w:rPr>
              <w:t>本机构通过养老金产品代码标识所登记的养老金产品。养老金产品代码由6位阿拉伯数字组成。办理与本机构登记养老金产品相关的申购、赎回、转换、分红方式变更等业务，只能使用此</w:t>
            </w:r>
            <w:r w:rsidRPr="00DB7F28">
              <w:rPr>
                <w:rFonts w:ascii="仿宋_GB2312" w:eastAsia="仿宋_GB2312" w:hAnsi="宋体" w:hint="eastAsia"/>
                <w:sz w:val="24"/>
                <w:szCs w:val="24"/>
              </w:rPr>
              <w:lastRenderedPageBreak/>
              <w:t>养老金产品代码</w:t>
            </w:r>
            <w:r>
              <w:rPr>
                <w:rFonts w:ascii="仿宋_GB2312" w:eastAsia="仿宋_GB2312" w:hAnsi="宋体" w:hint="eastAsia"/>
                <w:sz w:val="24"/>
                <w:szCs w:val="24"/>
              </w:rPr>
              <w:t>。</w:t>
            </w:r>
          </w:p>
        </w:tc>
        <w:tc>
          <w:tcPr>
            <w:tcW w:w="3654" w:type="dxa"/>
            <w:vAlign w:val="center"/>
          </w:tcPr>
          <w:p w:rsidR="00DB7F28" w:rsidRPr="00191E5E" w:rsidRDefault="00DB7F28" w:rsidP="00BF5E8D">
            <w:pPr>
              <w:rPr>
                <w:rFonts w:ascii="仿宋_GB2312" w:eastAsia="仿宋_GB2312" w:hAnsi="宋体"/>
                <w:sz w:val="24"/>
                <w:szCs w:val="24"/>
              </w:rPr>
            </w:pPr>
            <w:r w:rsidRPr="00DB7F28">
              <w:rPr>
                <w:rFonts w:ascii="仿宋_GB2312" w:eastAsia="仿宋_GB2312" w:hAnsi="宋体" w:hint="eastAsia"/>
                <w:sz w:val="24"/>
                <w:szCs w:val="24"/>
              </w:rPr>
              <w:lastRenderedPageBreak/>
              <w:t>本机构通过养老金产品代码标识所登记的养老金产品。养老金产品代码</w:t>
            </w:r>
            <w:proofErr w:type="gramStart"/>
            <w:r w:rsidRPr="00DB7F28">
              <w:rPr>
                <w:rFonts w:ascii="仿宋_GB2312" w:eastAsia="仿宋_GB2312" w:hAnsi="宋体" w:hint="eastAsia"/>
                <w:sz w:val="24"/>
                <w:szCs w:val="24"/>
              </w:rPr>
              <w:t>根据人社部</w:t>
            </w:r>
            <w:proofErr w:type="gramEnd"/>
            <w:r w:rsidRPr="00DB7F28">
              <w:rPr>
                <w:rFonts w:ascii="仿宋_GB2312" w:eastAsia="仿宋_GB2312" w:hAnsi="宋体" w:hint="eastAsia"/>
                <w:sz w:val="24"/>
                <w:szCs w:val="24"/>
              </w:rPr>
              <w:t>规则进行编码。办理与本机构登记养老金产品相关的申购、赎回、转换、分红方式变更等业务，只能使</w:t>
            </w:r>
            <w:r w:rsidRPr="00DB7F28">
              <w:rPr>
                <w:rFonts w:ascii="仿宋_GB2312" w:eastAsia="仿宋_GB2312" w:hAnsi="宋体" w:hint="eastAsia"/>
                <w:sz w:val="24"/>
                <w:szCs w:val="24"/>
              </w:rPr>
              <w:lastRenderedPageBreak/>
              <w:t>用此养老金产品代码</w:t>
            </w:r>
            <w:r>
              <w:rPr>
                <w:rFonts w:ascii="仿宋_GB2312" w:eastAsia="仿宋_GB2312" w:hAnsi="宋体" w:hint="eastAsia"/>
                <w:sz w:val="24"/>
                <w:szCs w:val="24"/>
              </w:rPr>
              <w:t>。</w:t>
            </w:r>
          </w:p>
        </w:tc>
      </w:tr>
      <w:tr w:rsidR="00DB7F28" w:rsidRPr="005410E1" w:rsidTr="0013048D">
        <w:trPr>
          <w:jc w:val="center"/>
        </w:trPr>
        <w:tc>
          <w:tcPr>
            <w:tcW w:w="1271" w:type="dxa"/>
            <w:vAlign w:val="center"/>
          </w:tcPr>
          <w:p w:rsidR="00DB7F28" w:rsidRDefault="00DB7F28" w:rsidP="00BF5E8D">
            <w:pPr>
              <w:jc w:val="center"/>
              <w:rPr>
                <w:rFonts w:ascii="仿宋_GB2312" w:eastAsia="仿宋_GB2312" w:hAnsi="宋体"/>
                <w:sz w:val="24"/>
                <w:szCs w:val="24"/>
              </w:rPr>
            </w:pPr>
            <w:r w:rsidRPr="00DB7F28">
              <w:rPr>
                <w:rFonts w:ascii="仿宋_GB2312" w:eastAsia="仿宋_GB2312" w:hAnsi="宋体" w:hint="eastAsia"/>
                <w:sz w:val="24"/>
                <w:szCs w:val="24"/>
              </w:rPr>
              <w:lastRenderedPageBreak/>
              <w:t xml:space="preserve">第7条 </w:t>
            </w:r>
          </w:p>
        </w:tc>
        <w:tc>
          <w:tcPr>
            <w:tcW w:w="3717" w:type="dxa"/>
            <w:vAlign w:val="center"/>
          </w:tcPr>
          <w:p w:rsidR="00DB7F28" w:rsidRPr="00DB7F28" w:rsidRDefault="00DB7F28" w:rsidP="00BF5E8D">
            <w:pPr>
              <w:jc w:val="left"/>
              <w:rPr>
                <w:rFonts w:ascii="仿宋_GB2312" w:eastAsia="仿宋_GB2312" w:hAnsi="宋体"/>
                <w:sz w:val="24"/>
                <w:szCs w:val="24"/>
              </w:rPr>
            </w:pPr>
            <w:r w:rsidRPr="00DB7F28">
              <w:rPr>
                <w:rFonts w:ascii="仿宋_GB2312" w:eastAsia="仿宋_GB2312" w:hAnsi="宋体" w:hint="eastAsia"/>
                <w:sz w:val="24"/>
                <w:szCs w:val="24"/>
              </w:rPr>
              <w:t>由销售机构发起的、需要本机构配合进行的测试（包括代销系统的上线测试、升级测试、功能改进测试等），按照本机构发布的年度测试计划、提前与本机构联系。</w:t>
            </w:r>
          </w:p>
        </w:tc>
        <w:tc>
          <w:tcPr>
            <w:tcW w:w="3654" w:type="dxa"/>
            <w:vAlign w:val="center"/>
          </w:tcPr>
          <w:p w:rsidR="00DB7F28" w:rsidRPr="00191E5E" w:rsidRDefault="00DB7F28" w:rsidP="00BF5E8D">
            <w:pPr>
              <w:rPr>
                <w:rFonts w:ascii="仿宋_GB2312" w:eastAsia="仿宋_GB2312" w:hAnsi="宋体"/>
                <w:sz w:val="24"/>
                <w:szCs w:val="24"/>
              </w:rPr>
            </w:pPr>
            <w:r w:rsidRPr="00DB7F28">
              <w:rPr>
                <w:rFonts w:ascii="仿宋_GB2312" w:eastAsia="仿宋_GB2312" w:hAnsi="宋体" w:hint="eastAsia"/>
                <w:sz w:val="24"/>
                <w:szCs w:val="24"/>
              </w:rPr>
              <w:t>由销售机构发起的、需要本机构配合进</w:t>
            </w:r>
            <w:r>
              <w:rPr>
                <w:rFonts w:ascii="仿宋_GB2312" w:eastAsia="仿宋_GB2312" w:hAnsi="宋体" w:hint="eastAsia"/>
                <w:sz w:val="24"/>
                <w:szCs w:val="24"/>
              </w:rPr>
              <w:t>行的测试，</w:t>
            </w:r>
            <w:r w:rsidRPr="00DB7F28">
              <w:rPr>
                <w:rFonts w:ascii="仿宋_GB2312" w:eastAsia="仿宋_GB2312" w:hAnsi="宋体" w:hint="eastAsia"/>
                <w:sz w:val="24"/>
                <w:szCs w:val="24"/>
              </w:rPr>
              <w:t>按照本机构发布的年度测试计划、提前与本机构联系。</w:t>
            </w:r>
          </w:p>
        </w:tc>
      </w:tr>
      <w:tr w:rsidR="00DB7F28" w:rsidRPr="005410E1" w:rsidTr="0013048D">
        <w:trPr>
          <w:jc w:val="center"/>
        </w:trPr>
        <w:tc>
          <w:tcPr>
            <w:tcW w:w="1271" w:type="dxa"/>
            <w:vAlign w:val="center"/>
          </w:tcPr>
          <w:p w:rsidR="00DB7F28" w:rsidRDefault="00DB7F28" w:rsidP="00BF5E8D">
            <w:pPr>
              <w:jc w:val="center"/>
              <w:rPr>
                <w:rFonts w:ascii="仿宋_GB2312" w:eastAsia="仿宋_GB2312" w:hAnsi="宋体"/>
                <w:sz w:val="24"/>
                <w:szCs w:val="24"/>
              </w:rPr>
            </w:pPr>
            <w:r w:rsidRPr="00DB7F28">
              <w:rPr>
                <w:rFonts w:ascii="仿宋_GB2312" w:eastAsia="仿宋_GB2312" w:hAnsi="宋体" w:hint="eastAsia"/>
                <w:sz w:val="24"/>
                <w:szCs w:val="24"/>
              </w:rPr>
              <w:t>第10条</w:t>
            </w:r>
          </w:p>
        </w:tc>
        <w:tc>
          <w:tcPr>
            <w:tcW w:w="3717" w:type="dxa"/>
            <w:vAlign w:val="center"/>
          </w:tcPr>
          <w:p w:rsidR="00DB7F28" w:rsidRPr="00191E5E" w:rsidRDefault="00DB7F28" w:rsidP="00BF5E8D">
            <w:pPr>
              <w:rPr>
                <w:rFonts w:ascii="仿宋_GB2312" w:eastAsia="仿宋_GB2312" w:hAnsi="宋体"/>
                <w:sz w:val="24"/>
                <w:szCs w:val="24"/>
              </w:rPr>
            </w:pPr>
            <w:r w:rsidRPr="00DB7F28">
              <w:rPr>
                <w:rFonts w:ascii="仿宋_GB2312" w:eastAsia="仿宋_GB2312" w:hAnsi="宋体" w:hint="eastAsia"/>
                <w:sz w:val="24"/>
                <w:szCs w:val="24"/>
              </w:rPr>
              <w:t>投资者将所持养老金产品份额存管于销售机构（存放于交易账户中），销售机构将投资者存管其名下的养老金产品份额存管于本机构（同时存放于基金账户中）。本机构登记养老金产品账号、养老金产品代码、机构号、交易账号、（投资者持有的）养老金产品份额明细等数据。对于投资者申购、赎回、转换、分红、</w:t>
            </w:r>
            <w:proofErr w:type="gramStart"/>
            <w:r w:rsidRPr="00DB7F28">
              <w:rPr>
                <w:rFonts w:ascii="仿宋_GB2312" w:eastAsia="仿宋_GB2312" w:hAnsi="宋体" w:hint="eastAsia"/>
                <w:sz w:val="24"/>
                <w:szCs w:val="24"/>
              </w:rPr>
              <w:t>非交易</w:t>
            </w:r>
            <w:proofErr w:type="gramEnd"/>
            <w:r w:rsidRPr="00DB7F28">
              <w:rPr>
                <w:rFonts w:ascii="仿宋_GB2312" w:eastAsia="仿宋_GB2312" w:hAnsi="宋体" w:hint="eastAsia"/>
                <w:sz w:val="24"/>
                <w:szCs w:val="24"/>
              </w:rPr>
              <w:t>过户、份额冻结与解冻引起的份额存管情况变化，本机构根据清算结果进行登记</w:t>
            </w:r>
            <w:r>
              <w:rPr>
                <w:rFonts w:ascii="仿宋_GB2312" w:eastAsia="仿宋_GB2312" w:hAnsi="宋体" w:hint="eastAsia"/>
                <w:sz w:val="24"/>
                <w:szCs w:val="24"/>
              </w:rPr>
              <w:t>。</w:t>
            </w:r>
          </w:p>
        </w:tc>
        <w:tc>
          <w:tcPr>
            <w:tcW w:w="3654" w:type="dxa"/>
            <w:vAlign w:val="center"/>
          </w:tcPr>
          <w:p w:rsidR="00DB7F28" w:rsidRPr="00191E5E" w:rsidRDefault="00DB7F28" w:rsidP="00BF5E8D">
            <w:pPr>
              <w:rPr>
                <w:rFonts w:ascii="仿宋_GB2312" w:eastAsia="仿宋_GB2312" w:hAnsi="宋体"/>
                <w:sz w:val="24"/>
                <w:szCs w:val="24"/>
              </w:rPr>
            </w:pPr>
            <w:r w:rsidRPr="00DB7F28">
              <w:rPr>
                <w:rFonts w:ascii="仿宋_GB2312" w:eastAsia="仿宋_GB2312" w:hAnsi="宋体" w:hint="eastAsia"/>
                <w:sz w:val="24"/>
                <w:szCs w:val="24"/>
              </w:rPr>
              <w:t>投资者将所持养老金产品份额存管于销售机构（存放于交易账户中），销售机构将投资者存管其名下的养老金产品份额存管于本机构（同时存放于养老金产品账户中）。本机构登记养老金产品账号、养老金产品代码、机构号、交易账号、（投资者持有的）养老金产品份额明细等数据。对于投资者申购、赎回、转换、分红、</w:t>
            </w:r>
            <w:proofErr w:type="gramStart"/>
            <w:r w:rsidRPr="00DB7F28">
              <w:rPr>
                <w:rFonts w:ascii="仿宋_GB2312" w:eastAsia="仿宋_GB2312" w:hAnsi="宋体" w:hint="eastAsia"/>
                <w:sz w:val="24"/>
                <w:szCs w:val="24"/>
              </w:rPr>
              <w:t>非交易</w:t>
            </w:r>
            <w:proofErr w:type="gramEnd"/>
            <w:r w:rsidRPr="00DB7F28">
              <w:rPr>
                <w:rFonts w:ascii="仿宋_GB2312" w:eastAsia="仿宋_GB2312" w:hAnsi="宋体" w:hint="eastAsia"/>
                <w:sz w:val="24"/>
                <w:szCs w:val="24"/>
              </w:rPr>
              <w:t>过户、份额冻结与解冻引起的份额存管情况变化，本机构根据清算结果进行登记</w:t>
            </w:r>
            <w:r>
              <w:rPr>
                <w:rFonts w:ascii="仿宋_GB2312" w:eastAsia="仿宋_GB2312" w:hAnsi="宋体" w:hint="eastAsia"/>
                <w:sz w:val="24"/>
                <w:szCs w:val="24"/>
              </w:rPr>
              <w:t>。</w:t>
            </w:r>
          </w:p>
        </w:tc>
      </w:tr>
      <w:tr w:rsidR="00DB7F28" w:rsidRPr="005410E1" w:rsidTr="0013048D">
        <w:trPr>
          <w:jc w:val="center"/>
        </w:trPr>
        <w:tc>
          <w:tcPr>
            <w:tcW w:w="1271" w:type="dxa"/>
            <w:vAlign w:val="center"/>
          </w:tcPr>
          <w:p w:rsidR="00DB7F28" w:rsidRPr="00DB7F28" w:rsidRDefault="00DB7F28" w:rsidP="00BF5E8D">
            <w:pPr>
              <w:jc w:val="center"/>
              <w:rPr>
                <w:rFonts w:ascii="仿宋_GB2312" w:eastAsia="仿宋_GB2312" w:hAnsi="宋体"/>
                <w:sz w:val="24"/>
                <w:szCs w:val="24"/>
              </w:rPr>
            </w:pPr>
            <w:r>
              <w:rPr>
                <w:rFonts w:ascii="仿宋_GB2312" w:eastAsia="仿宋_GB2312" w:hAnsi="宋体" w:hint="eastAsia"/>
                <w:sz w:val="24"/>
                <w:szCs w:val="24"/>
              </w:rPr>
              <w:t>第14条</w:t>
            </w:r>
          </w:p>
        </w:tc>
        <w:tc>
          <w:tcPr>
            <w:tcW w:w="3717" w:type="dxa"/>
            <w:vAlign w:val="center"/>
          </w:tcPr>
          <w:p w:rsidR="00DB7F28" w:rsidRPr="00DB7F28" w:rsidRDefault="00DB7F28" w:rsidP="00BF5E8D">
            <w:pPr>
              <w:rPr>
                <w:rFonts w:ascii="仿宋_GB2312" w:eastAsia="仿宋_GB2312" w:hAnsi="宋体"/>
                <w:sz w:val="24"/>
                <w:szCs w:val="24"/>
              </w:rPr>
            </w:pPr>
            <w:r w:rsidRPr="00DB7F28">
              <w:rPr>
                <w:rFonts w:ascii="仿宋_GB2312" w:eastAsia="仿宋_GB2312" w:hAnsi="宋体" w:hint="eastAsia"/>
                <w:sz w:val="24"/>
                <w:szCs w:val="24"/>
              </w:rPr>
              <w:t>在投资人参与本产品交易之前，需通过销售机构申请开立养老金产品份额持有人账户。其中，以投资组合的名义开立养老金产品份额持有人账户的，开户名称应当与投资组合名称一致，开户证件使用企业年金计划备案确认函，证件号码为企业年金计划登记号，组织机构代码证、税务登记证号码等使用投资组合投资管理人的信息；以企业年金计划的名义开立养老金产品份额持有人账户的，开户名称应当与企业年金计划名称一致，开户证件使用企业年金计划备案确认函，证件号码为企业年金计划登记号，组织机构代码证、税务登记证号码等使用法人受托机构的信息。</w:t>
            </w:r>
          </w:p>
        </w:tc>
        <w:tc>
          <w:tcPr>
            <w:tcW w:w="3654" w:type="dxa"/>
            <w:vAlign w:val="center"/>
          </w:tcPr>
          <w:p w:rsidR="00DB7F28" w:rsidRPr="00DB7F28" w:rsidRDefault="00DB7F28" w:rsidP="00BF5E8D">
            <w:pPr>
              <w:rPr>
                <w:rFonts w:ascii="仿宋_GB2312" w:eastAsia="仿宋_GB2312" w:hAnsi="宋体"/>
                <w:sz w:val="24"/>
                <w:szCs w:val="24"/>
              </w:rPr>
            </w:pPr>
            <w:r w:rsidRPr="00DB7F28">
              <w:rPr>
                <w:rFonts w:ascii="仿宋_GB2312" w:eastAsia="仿宋_GB2312" w:hAnsi="宋体" w:hint="eastAsia"/>
                <w:sz w:val="24"/>
                <w:szCs w:val="24"/>
              </w:rPr>
              <w:t>在投资人参与本产品交易之前，需通过销售机构申请开立养老金产品份额持有人账户。其中，以投资组合的名义开立养老金产品份额持有人账户的，开户名称应当与投资组合名称一致，开户证件使用企业年金计划备案确认函，证件号码为企业年金计划登记号，统一社会信用代码（或组织机构代码证、税务登记证号码等）使用投资组合投资管理人的信息；以企业年金计划的名义开立养老金产品份额持有人账户的，开户名称应当与企业年金计划名称一致，开户证件使用企业年金计划备案确认函，证件号码为企业年金计划登记号，统一社会信用代码（或组织机构代码证、税务登记证号码等）使用法人受托机构的信息。</w:t>
            </w:r>
          </w:p>
        </w:tc>
      </w:tr>
      <w:tr w:rsidR="00DB7F28" w:rsidRPr="005410E1" w:rsidTr="0013048D">
        <w:trPr>
          <w:jc w:val="center"/>
        </w:trPr>
        <w:tc>
          <w:tcPr>
            <w:tcW w:w="1271" w:type="dxa"/>
            <w:vAlign w:val="center"/>
          </w:tcPr>
          <w:p w:rsidR="00DB7F28" w:rsidRDefault="00DB7F28" w:rsidP="00BF5E8D">
            <w:pPr>
              <w:jc w:val="center"/>
              <w:rPr>
                <w:rFonts w:ascii="仿宋_GB2312" w:eastAsia="仿宋_GB2312" w:hAnsi="宋体"/>
                <w:sz w:val="24"/>
                <w:szCs w:val="24"/>
              </w:rPr>
            </w:pPr>
            <w:r w:rsidRPr="00DB7F28">
              <w:rPr>
                <w:rFonts w:ascii="仿宋_GB2312" w:eastAsia="仿宋_GB2312" w:hAnsi="宋体" w:hint="eastAsia"/>
                <w:sz w:val="24"/>
                <w:szCs w:val="24"/>
              </w:rPr>
              <w:lastRenderedPageBreak/>
              <w:t>第42条</w:t>
            </w:r>
          </w:p>
        </w:tc>
        <w:tc>
          <w:tcPr>
            <w:tcW w:w="3717" w:type="dxa"/>
            <w:vAlign w:val="center"/>
          </w:tcPr>
          <w:p w:rsidR="00DB7F28" w:rsidRPr="00DB7F28" w:rsidRDefault="00DB7F28" w:rsidP="00BF5E8D">
            <w:pPr>
              <w:rPr>
                <w:rFonts w:ascii="仿宋_GB2312" w:eastAsia="仿宋_GB2312" w:hAnsi="宋体"/>
                <w:sz w:val="24"/>
                <w:szCs w:val="24"/>
              </w:rPr>
            </w:pPr>
            <w:r w:rsidRPr="00DB7F28">
              <w:rPr>
                <w:rFonts w:ascii="仿宋_GB2312" w:eastAsia="仿宋_GB2312" w:hAnsi="宋体" w:hint="eastAsia"/>
                <w:sz w:val="24"/>
                <w:szCs w:val="24"/>
              </w:rPr>
              <w:t>发生基金合同或养老金产品投资合同规定的巨额赎回时，如养老金产品管理人确定按巨额赎回规定执行的，销售机构须以本机构的书面通知为准</w:t>
            </w:r>
            <w:r>
              <w:rPr>
                <w:rFonts w:ascii="仿宋_GB2312" w:eastAsia="仿宋_GB2312" w:hAnsi="宋体" w:hint="eastAsia"/>
                <w:sz w:val="24"/>
                <w:szCs w:val="24"/>
              </w:rPr>
              <w:t>。</w:t>
            </w:r>
          </w:p>
        </w:tc>
        <w:tc>
          <w:tcPr>
            <w:tcW w:w="3654" w:type="dxa"/>
            <w:vAlign w:val="center"/>
          </w:tcPr>
          <w:p w:rsidR="00DB7F28" w:rsidRPr="00DB7F28" w:rsidRDefault="00DB7F28" w:rsidP="00BF5E8D">
            <w:pPr>
              <w:rPr>
                <w:rFonts w:ascii="仿宋_GB2312" w:eastAsia="仿宋_GB2312" w:hAnsi="宋体"/>
                <w:sz w:val="24"/>
                <w:szCs w:val="24"/>
              </w:rPr>
            </w:pPr>
            <w:r w:rsidRPr="00DB7F28">
              <w:rPr>
                <w:rFonts w:ascii="仿宋_GB2312" w:eastAsia="仿宋_GB2312" w:hAnsi="宋体" w:hint="eastAsia"/>
                <w:sz w:val="24"/>
                <w:szCs w:val="24"/>
              </w:rPr>
              <w:t>发生养老金产品投资合同规定的巨额赎回时，如养老金产品管理人确定按巨额赎回规定执行的，销售机构须以本机构的书面通知为准</w:t>
            </w:r>
            <w:r>
              <w:rPr>
                <w:rFonts w:ascii="仿宋_GB2312" w:eastAsia="仿宋_GB2312" w:hAnsi="宋体" w:hint="eastAsia"/>
                <w:sz w:val="24"/>
                <w:szCs w:val="24"/>
              </w:rPr>
              <w:t>。</w:t>
            </w:r>
          </w:p>
        </w:tc>
      </w:tr>
      <w:tr w:rsidR="00207374" w:rsidRPr="005410E1" w:rsidTr="0013048D">
        <w:trPr>
          <w:jc w:val="center"/>
        </w:trPr>
        <w:tc>
          <w:tcPr>
            <w:tcW w:w="1271" w:type="dxa"/>
            <w:vAlign w:val="center"/>
          </w:tcPr>
          <w:p w:rsidR="00207374" w:rsidRDefault="00207374" w:rsidP="00BF5E8D">
            <w:pPr>
              <w:jc w:val="center"/>
              <w:rPr>
                <w:rFonts w:ascii="仿宋_GB2312" w:eastAsia="仿宋_GB2312" w:hAnsi="宋体"/>
                <w:sz w:val="24"/>
                <w:szCs w:val="24"/>
              </w:rPr>
            </w:pPr>
            <w:r>
              <w:rPr>
                <w:rFonts w:ascii="仿宋_GB2312" w:eastAsia="仿宋_GB2312" w:hAnsi="宋体" w:hint="eastAsia"/>
                <w:sz w:val="24"/>
                <w:szCs w:val="24"/>
              </w:rPr>
              <w:t>第47条</w:t>
            </w:r>
          </w:p>
          <w:p w:rsidR="00207374" w:rsidRDefault="00207374" w:rsidP="00BF5E8D">
            <w:pPr>
              <w:jc w:val="center"/>
              <w:rPr>
                <w:rFonts w:ascii="仿宋_GB2312" w:eastAsia="仿宋_GB2312" w:hAnsi="宋体"/>
                <w:sz w:val="24"/>
                <w:szCs w:val="24"/>
              </w:rPr>
            </w:pPr>
            <w:r>
              <w:rPr>
                <w:rFonts w:ascii="仿宋_GB2312" w:eastAsia="仿宋_GB2312" w:hAnsi="宋体" w:hint="eastAsia"/>
                <w:sz w:val="24"/>
                <w:szCs w:val="24"/>
              </w:rPr>
              <w:t>（删除）</w:t>
            </w:r>
          </w:p>
        </w:tc>
        <w:tc>
          <w:tcPr>
            <w:tcW w:w="3717" w:type="dxa"/>
            <w:vAlign w:val="center"/>
          </w:tcPr>
          <w:p w:rsidR="00207374" w:rsidRPr="00191E5E" w:rsidRDefault="00207374" w:rsidP="00BF5E8D">
            <w:pPr>
              <w:rPr>
                <w:rFonts w:ascii="仿宋_GB2312" w:eastAsia="仿宋_GB2312" w:hAnsi="宋体"/>
                <w:sz w:val="24"/>
                <w:szCs w:val="24"/>
              </w:rPr>
            </w:pPr>
            <w:r w:rsidRPr="00207374">
              <w:rPr>
                <w:rFonts w:ascii="仿宋_GB2312" w:eastAsia="仿宋_GB2312" w:hAnsi="宋体" w:hint="eastAsia"/>
                <w:sz w:val="24"/>
                <w:szCs w:val="24"/>
              </w:rPr>
              <w:t>养老金产品不收取转换费用。</w:t>
            </w:r>
          </w:p>
        </w:tc>
        <w:tc>
          <w:tcPr>
            <w:tcW w:w="3654" w:type="dxa"/>
            <w:vAlign w:val="center"/>
          </w:tcPr>
          <w:p w:rsidR="00207374" w:rsidRPr="00191E5E" w:rsidRDefault="00207374" w:rsidP="00BF5E8D">
            <w:pPr>
              <w:rPr>
                <w:rFonts w:ascii="仿宋_GB2312" w:eastAsia="仿宋_GB2312" w:hAnsi="宋体"/>
                <w:sz w:val="24"/>
                <w:szCs w:val="24"/>
              </w:rPr>
            </w:pPr>
          </w:p>
        </w:tc>
      </w:tr>
      <w:tr w:rsidR="00207374" w:rsidRPr="005410E1" w:rsidTr="0013048D">
        <w:trPr>
          <w:jc w:val="center"/>
        </w:trPr>
        <w:tc>
          <w:tcPr>
            <w:tcW w:w="1271" w:type="dxa"/>
            <w:vAlign w:val="center"/>
          </w:tcPr>
          <w:p w:rsidR="00207374" w:rsidRDefault="00207374" w:rsidP="00BF5E8D">
            <w:pPr>
              <w:jc w:val="center"/>
              <w:rPr>
                <w:rFonts w:ascii="仿宋_GB2312" w:eastAsia="仿宋_GB2312" w:hAnsi="宋体"/>
                <w:sz w:val="24"/>
                <w:szCs w:val="24"/>
              </w:rPr>
            </w:pPr>
            <w:r w:rsidRPr="00207374">
              <w:rPr>
                <w:rFonts w:ascii="仿宋_GB2312" w:eastAsia="仿宋_GB2312" w:hAnsi="宋体" w:hint="eastAsia"/>
                <w:sz w:val="24"/>
                <w:szCs w:val="24"/>
              </w:rPr>
              <w:t>第53条</w:t>
            </w:r>
          </w:p>
        </w:tc>
        <w:tc>
          <w:tcPr>
            <w:tcW w:w="3717" w:type="dxa"/>
            <w:vAlign w:val="center"/>
          </w:tcPr>
          <w:p w:rsidR="00207374" w:rsidRPr="00191E5E" w:rsidRDefault="00207374" w:rsidP="00BF5E8D">
            <w:pPr>
              <w:rPr>
                <w:rFonts w:ascii="仿宋_GB2312" w:eastAsia="仿宋_GB2312" w:hAnsi="宋体"/>
                <w:sz w:val="24"/>
                <w:szCs w:val="24"/>
              </w:rPr>
            </w:pPr>
            <w:r w:rsidRPr="00207374">
              <w:rPr>
                <w:rFonts w:ascii="仿宋_GB2312" w:eastAsia="仿宋_GB2312" w:hAnsi="宋体" w:hint="eastAsia"/>
                <w:sz w:val="24"/>
                <w:szCs w:val="24"/>
              </w:rPr>
              <w:t>选择“红利再投资”方式的，按分红权益再</w:t>
            </w:r>
            <w:proofErr w:type="gramStart"/>
            <w:r w:rsidRPr="00207374">
              <w:rPr>
                <w:rFonts w:ascii="仿宋_GB2312" w:eastAsia="仿宋_GB2312" w:hAnsi="宋体" w:hint="eastAsia"/>
                <w:sz w:val="24"/>
                <w:szCs w:val="24"/>
              </w:rPr>
              <w:t>投资日</w:t>
            </w:r>
            <w:proofErr w:type="gramEnd"/>
            <w:r w:rsidRPr="00207374">
              <w:rPr>
                <w:rFonts w:ascii="仿宋_GB2312" w:eastAsia="仿宋_GB2312" w:hAnsi="宋体" w:hint="eastAsia"/>
                <w:sz w:val="24"/>
                <w:szCs w:val="24"/>
              </w:rPr>
              <w:t>的养老金产品份额净值计算基金份额；选择“现金”方式的，其分红资金</w:t>
            </w:r>
            <w:proofErr w:type="gramStart"/>
            <w:r w:rsidRPr="00207374">
              <w:rPr>
                <w:rFonts w:ascii="仿宋_GB2312" w:eastAsia="仿宋_GB2312" w:hAnsi="宋体" w:hint="eastAsia"/>
                <w:sz w:val="24"/>
                <w:szCs w:val="24"/>
              </w:rPr>
              <w:t>将于派现</w:t>
            </w:r>
            <w:proofErr w:type="gramEnd"/>
            <w:r w:rsidRPr="00207374">
              <w:rPr>
                <w:rFonts w:ascii="仿宋_GB2312" w:eastAsia="仿宋_GB2312" w:hAnsi="宋体" w:hint="eastAsia"/>
                <w:sz w:val="24"/>
                <w:szCs w:val="24"/>
              </w:rPr>
              <w:t>日从本机构清算</w:t>
            </w:r>
            <w:proofErr w:type="gramStart"/>
            <w:r w:rsidRPr="00207374">
              <w:rPr>
                <w:rFonts w:ascii="仿宋_GB2312" w:eastAsia="仿宋_GB2312" w:hAnsi="宋体" w:hint="eastAsia"/>
                <w:sz w:val="24"/>
                <w:szCs w:val="24"/>
              </w:rPr>
              <w:t>户划往销售</w:t>
            </w:r>
            <w:proofErr w:type="gramEnd"/>
            <w:r w:rsidRPr="00207374">
              <w:rPr>
                <w:rFonts w:ascii="仿宋_GB2312" w:eastAsia="仿宋_GB2312" w:hAnsi="宋体" w:hint="eastAsia"/>
                <w:sz w:val="24"/>
                <w:szCs w:val="24"/>
              </w:rPr>
              <w:t>机构</w:t>
            </w:r>
            <w:r>
              <w:rPr>
                <w:rFonts w:ascii="仿宋_GB2312" w:eastAsia="仿宋_GB2312" w:hAnsi="宋体" w:hint="eastAsia"/>
                <w:sz w:val="24"/>
                <w:szCs w:val="24"/>
              </w:rPr>
              <w:t>。</w:t>
            </w:r>
          </w:p>
        </w:tc>
        <w:tc>
          <w:tcPr>
            <w:tcW w:w="3654" w:type="dxa"/>
            <w:vAlign w:val="center"/>
          </w:tcPr>
          <w:p w:rsidR="00207374" w:rsidRPr="00191E5E" w:rsidRDefault="00207374" w:rsidP="00BF5E8D">
            <w:pPr>
              <w:rPr>
                <w:rFonts w:ascii="仿宋_GB2312" w:eastAsia="仿宋_GB2312" w:hAnsi="宋体"/>
                <w:sz w:val="24"/>
                <w:szCs w:val="24"/>
              </w:rPr>
            </w:pPr>
            <w:r w:rsidRPr="00207374">
              <w:rPr>
                <w:rFonts w:ascii="仿宋_GB2312" w:eastAsia="仿宋_GB2312" w:hAnsi="宋体" w:hint="eastAsia"/>
                <w:sz w:val="24"/>
                <w:szCs w:val="24"/>
              </w:rPr>
              <w:t>选择“红</w:t>
            </w:r>
            <w:r>
              <w:rPr>
                <w:rFonts w:ascii="仿宋_GB2312" w:eastAsia="仿宋_GB2312" w:hAnsi="宋体" w:hint="eastAsia"/>
                <w:sz w:val="24"/>
                <w:szCs w:val="24"/>
              </w:rPr>
              <w:t>利再投资”方式的，按分红权益再</w:t>
            </w:r>
            <w:proofErr w:type="gramStart"/>
            <w:r>
              <w:rPr>
                <w:rFonts w:ascii="仿宋_GB2312" w:eastAsia="仿宋_GB2312" w:hAnsi="宋体" w:hint="eastAsia"/>
                <w:sz w:val="24"/>
                <w:szCs w:val="24"/>
              </w:rPr>
              <w:t>投资日</w:t>
            </w:r>
            <w:proofErr w:type="gramEnd"/>
            <w:r>
              <w:rPr>
                <w:rFonts w:ascii="仿宋_GB2312" w:eastAsia="仿宋_GB2312" w:hAnsi="宋体" w:hint="eastAsia"/>
                <w:sz w:val="24"/>
                <w:szCs w:val="24"/>
              </w:rPr>
              <w:t>的养老金产品份额净值计算产品</w:t>
            </w:r>
            <w:r w:rsidRPr="00207374">
              <w:rPr>
                <w:rFonts w:ascii="仿宋_GB2312" w:eastAsia="仿宋_GB2312" w:hAnsi="宋体" w:hint="eastAsia"/>
                <w:sz w:val="24"/>
                <w:szCs w:val="24"/>
              </w:rPr>
              <w:t>份额；选择“现金”方式的，其分红资金</w:t>
            </w:r>
            <w:proofErr w:type="gramStart"/>
            <w:r w:rsidRPr="00207374">
              <w:rPr>
                <w:rFonts w:ascii="仿宋_GB2312" w:eastAsia="仿宋_GB2312" w:hAnsi="宋体" w:hint="eastAsia"/>
                <w:sz w:val="24"/>
                <w:szCs w:val="24"/>
              </w:rPr>
              <w:t>将于派现</w:t>
            </w:r>
            <w:proofErr w:type="gramEnd"/>
            <w:r w:rsidRPr="00207374">
              <w:rPr>
                <w:rFonts w:ascii="仿宋_GB2312" w:eastAsia="仿宋_GB2312" w:hAnsi="宋体" w:hint="eastAsia"/>
                <w:sz w:val="24"/>
                <w:szCs w:val="24"/>
              </w:rPr>
              <w:t>日从本机构清算</w:t>
            </w:r>
            <w:proofErr w:type="gramStart"/>
            <w:r w:rsidRPr="00207374">
              <w:rPr>
                <w:rFonts w:ascii="仿宋_GB2312" w:eastAsia="仿宋_GB2312" w:hAnsi="宋体" w:hint="eastAsia"/>
                <w:sz w:val="24"/>
                <w:szCs w:val="24"/>
              </w:rPr>
              <w:t>户划往销售</w:t>
            </w:r>
            <w:proofErr w:type="gramEnd"/>
            <w:r w:rsidRPr="00207374">
              <w:rPr>
                <w:rFonts w:ascii="仿宋_GB2312" w:eastAsia="仿宋_GB2312" w:hAnsi="宋体" w:hint="eastAsia"/>
                <w:sz w:val="24"/>
                <w:szCs w:val="24"/>
              </w:rPr>
              <w:t>机构</w:t>
            </w:r>
            <w:r>
              <w:rPr>
                <w:rFonts w:ascii="仿宋_GB2312" w:eastAsia="仿宋_GB2312" w:hAnsi="宋体" w:hint="eastAsia"/>
                <w:sz w:val="24"/>
                <w:szCs w:val="24"/>
              </w:rPr>
              <w:t>。</w:t>
            </w:r>
          </w:p>
        </w:tc>
      </w:tr>
      <w:tr w:rsidR="00807618" w:rsidRPr="005410E1" w:rsidTr="0013048D">
        <w:trPr>
          <w:jc w:val="center"/>
        </w:trPr>
        <w:tc>
          <w:tcPr>
            <w:tcW w:w="1271" w:type="dxa"/>
            <w:vAlign w:val="center"/>
          </w:tcPr>
          <w:p w:rsidR="00807618" w:rsidRPr="005410E1" w:rsidRDefault="00191E5E" w:rsidP="00BF5E8D">
            <w:pPr>
              <w:jc w:val="center"/>
              <w:rPr>
                <w:rFonts w:ascii="仿宋_GB2312" w:eastAsia="仿宋_GB2312" w:hAnsi="宋体"/>
                <w:sz w:val="24"/>
                <w:szCs w:val="24"/>
              </w:rPr>
            </w:pPr>
            <w:r>
              <w:rPr>
                <w:rFonts w:ascii="仿宋_GB2312" w:eastAsia="仿宋_GB2312" w:hAnsi="宋体" w:hint="eastAsia"/>
                <w:sz w:val="24"/>
                <w:szCs w:val="24"/>
              </w:rPr>
              <w:t>第5</w:t>
            </w:r>
            <w:r w:rsidR="0029031C">
              <w:rPr>
                <w:rFonts w:ascii="仿宋_GB2312" w:eastAsia="仿宋_GB2312" w:hAnsi="宋体" w:hint="eastAsia"/>
                <w:sz w:val="24"/>
                <w:szCs w:val="24"/>
              </w:rPr>
              <w:t>4</w:t>
            </w:r>
            <w:r>
              <w:rPr>
                <w:rFonts w:ascii="仿宋_GB2312" w:eastAsia="仿宋_GB2312" w:hAnsi="宋体" w:hint="eastAsia"/>
                <w:sz w:val="24"/>
                <w:szCs w:val="24"/>
              </w:rPr>
              <w:t>条</w:t>
            </w:r>
          </w:p>
        </w:tc>
        <w:tc>
          <w:tcPr>
            <w:tcW w:w="3717" w:type="dxa"/>
            <w:vAlign w:val="center"/>
          </w:tcPr>
          <w:p w:rsidR="00807618" w:rsidRPr="005410E1" w:rsidRDefault="00191E5E" w:rsidP="00BF5E8D">
            <w:pPr>
              <w:jc w:val="center"/>
              <w:rPr>
                <w:rFonts w:ascii="仿宋_GB2312" w:eastAsia="仿宋_GB2312" w:hAnsi="宋体"/>
                <w:sz w:val="24"/>
                <w:szCs w:val="24"/>
              </w:rPr>
            </w:pPr>
            <w:proofErr w:type="gramStart"/>
            <w:r w:rsidRPr="00191E5E">
              <w:rPr>
                <w:rFonts w:ascii="仿宋_GB2312" w:eastAsia="仿宋_GB2312" w:hAnsi="宋体" w:hint="eastAsia"/>
                <w:sz w:val="24"/>
                <w:szCs w:val="24"/>
              </w:rPr>
              <w:t>非交易</w:t>
            </w:r>
            <w:proofErr w:type="gramEnd"/>
            <w:r w:rsidRPr="00191E5E">
              <w:rPr>
                <w:rFonts w:ascii="仿宋_GB2312" w:eastAsia="仿宋_GB2312" w:hAnsi="宋体" w:hint="eastAsia"/>
                <w:sz w:val="24"/>
                <w:szCs w:val="24"/>
              </w:rPr>
              <w:t>过户是指因继承、执行司法判决和经本机构认可的其他情况而发生的养老金产品份额的转移。</w:t>
            </w:r>
          </w:p>
        </w:tc>
        <w:tc>
          <w:tcPr>
            <w:tcW w:w="3654" w:type="dxa"/>
            <w:vAlign w:val="center"/>
          </w:tcPr>
          <w:p w:rsidR="00807618" w:rsidRPr="005410E1" w:rsidRDefault="00191E5E" w:rsidP="00BF5E8D">
            <w:pPr>
              <w:rPr>
                <w:rFonts w:ascii="仿宋_GB2312" w:eastAsia="仿宋_GB2312" w:hAnsi="宋体"/>
                <w:sz w:val="24"/>
                <w:szCs w:val="24"/>
              </w:rPr>
            </w:pPr>
            <w:proofErr w:type="gramStart"/>
            <w:r w:rsidRPr="00191E5E">
              <w:rPr>
                <w:rFonts w:ascii="仿宋_GB2312" w:eastAsia="仿宋_GB2312" w:hAnsi="宋体" w:hint="eastAsia"/>
                <w:sz w:val="24"/>
                <w:szCs w:val="24"/>
              </w:rPr>
              <w:t>非交易</w:t>
            </w:r>
            <w:proofErr w:type="gramEnd"/>
            <w:r w:rsidRPr="00191E5E">
              <w:rPr>
                <w:rFonts w:ascii="仿宋_GB2312" w:eastAsia="仿宋_GB2312" w:hAnsi="宋体" w:hint="eastAsia"/>
                <w:sz w:val="24"/>
                <w:szCs w:val="24"/>
              </w:rPr>
              <w:t>过户是指因执行司法判决和经本机构认可的其他情况而发生的养老金产品份额的转移</w:t>
            </w:r>
            <w:r>
              <w:rPr>
                <w:rFonts w:ascii="仿宋_GB2312" w:eastAsia="仿宋_GB2312" w:hAnsi="宋体" w:hint="eastAsia"/>
                <w:sz w:val="24"/>
                <w:szCs w:val="24"/>
              </w:rPr>
              <w:t>。</w:t>
            </w:r>
          </w:p>
        </w:tc>
      </w:tr>
      <w:tr w:rsidR="00191E5E" w:rsidRPr="005410E1" w:rsidTr="0013048D">
        <w:trPr>
          <w:jc w:val="center"/>
        </w:trPr>
        <w:tc>
          <w:tcPr>
            <w:tcW w:w="1271" w:type="dxa"/>
            <w:vAlign w:val="center"/>
          </w:tcPr>
          <w:p w:rsidR="00191E5E" w:rsidRDefault="00191E5E" w:rsidP="00BF5E8D">
            <w:pPr>
              <w:jc w:val="center"/>
              <w:rPr>
                <w:rFonts w:ascii="仿宋_GB2312" w:eastAsia="仿宋_GB2312" w:hAnsi="宋体"/>
                <w:sz w:val="24"/>
                <w:szCs w:val="24"/>
              </w:rPr>
            </w:pPr>
            <w:r>
              <w:rPr>
                <w:rFonts w:ascii="仿宋_GB2312" w:eastAsia="仿宋_GB2312" w:hAnsi="宋体" w:hint="eastAsia"/>
                <w:sz w:val="24"/>
                <w:szCs w:val="24"/>
              </w:rPr>
              <w:t>第61条</w:t>
            </w:r>
          </w:p>
          <w:p w:rsidR="00191E5E" w:rsidRDefault="00191E5E" w:rsidP="00BF5E8D">
            <w:pPr>
              <w:jc w:val="center"/>
              <w:rPr>
                <w:rFonts w:ascii="仿宋_GB2312" w:eastAsia="仿宋_GB2312" w:hAnsi="宋体"/>
                <w:sz w:val="24"/>
                <w:szCs w:val="24"/>
              </w:rPr>
            </w:pPr>
            <w:r>
              <w:rPr>
                <w:rFonts w:ascii="仿宋_GB2312" w:eastAsia="仿宋_GB2312" w:hAnsi="宋体" w:hint="eastAsia"/>
                <w:sz w:val="24"/>
                <w:szCs w:val="24"/>
              </w:rPr>
              <w:t>（删除）</w:t>
            </w:r>
          </w:p>
        </w:tc>
        <w:tc>
          <w:tcPr>
            <w:tcW w:w="3717" w:type="dxa"/>
            <w:vAlign w:val="center"/>
          </w:tcPr>
          <w:p w:rsidR="00191E5E" w:rsidRPr="00191E5E" w:rsidRDefault="00191E5E" w:rsidP="00BF5E8D">
            <w:pPr>
              <w:jc w:val="left"/>
              <w:rPr>
                <w:rFonts w:ascii="仿宋_GB2312" w:eastAsia="仿宋_GB2312" w:hAnsi="宋体"/>
                <w:sz w:val="24"/>
                <w:szCs w:val="24"/>
              </w:rPr>
            </w:pPr>
            <w:r w:rsidRPr="00191E5E">
              <w:rPr>
                <w:rFonts w:ascii="仿宋_GB2312" w:eastAsia="仿宋_GB2312" w:hAnsi="宋体" w:hint="eastAsia"/>
                <w:sz w:val="24"/>
                <w:szCs w:val="24"/>
              </w:rPr>
              <w:t>当因继承引起的</w:t>
            </w:r>
            <w:proofErr w:type="gramStart"/>
            <w:r w:rsidRPr="00191E5E">
              <w:rPr>
                <w:rFonts w:ascii="仿宋_GB2312" w:eastAsia="仿宋_GB2312" w:hAnsi="宋体" w:hint="eastAsia"/>
                <w:sz w:val="24"/>
                <w:szCs w:val="24"/>
              </w:rPr>
              <w:t>非交易</w:t>
            </w:r>
            <w:proofErr w:type="gramEnd"/>
            <w:r w:rsidRPr="00191E5E">
              <w:rPr>
                <w:rFonts w:ascii="仿宋_GB2312" w:eastAsia="仿宋_GB2312" w:hAnsi="宋体" w:hint="eastAsia"/>
                <w:sz w:val="24"/>
                <w:szCs w:val="24"/>
              </w:rPr>
              <w:t>过户业务确认完成后，若被继承人养老金产品账户内的份额余额为零，本机构有权对其养老金产品账户进行销户处理。</w:t>
            </w:r>
          </w:p>
        </w:tc>
        <w:tc>
          <w:tcPr>
            <w:tcW w:w="3654" w:type="dxa"/>
            <w:vAlign w:val="center"/>
          </w:tcPr>
          <w:p w:rsidR="00191E5E" w:rsidRPr="00191E5E" w:rsidRDefault="00191E5E" w:rsidP="00BF5E8D">
            <w:pPr>
              <w:rPr>
                <w:rFonts w:ascii="仿宋_GB2312" w:eastAsia="仿宋_GB2312" w:hAnsi="宋体"/>
                <w:sz w:val="24"/>
                <w:szCs w:val="24"/>
              </w:rPr>
            </w:pPr>
          </w:p>
        </w:tc>
      </w:tr>
      <w:tr w:rsidR="00207374" w:rsidRPr="005410E1" w:rsidTr="0013048D">
        <w:trPr>
          <w:jc w:val="center"/>
        </w:trPr>
        <w:tc>
          <w:tcPr>
            <w:tcW w:w="1271" w:type="dxa"/>
            <w:vAlign w:val="center"/>
          </w:tcPr>
          <w:p w:rsidR="00207374" w:rsidRDefault="00207374" w:rsidP="00BF5E8D">
            <w:pPr>
              <w:jc w:val="center"/>
              <w:rPr>
                <w:rFonts w:ascii="仿宋_GB2312" w:eastAsia="仿宋_GB2312" w:hAnsi="宋体"/>
                <w:sz w:val="24"/>
                <w:szCs w:val="24"/>
              </w:rPr>
            </w:pPr>
            <w:r>
              <w:rPr>
                <w:rFonts w:ascii="仿宋_GB2312" w:eastAsia="仿宋_GB2312" w:hAnsi="宋体" w:hint="eastAsia"/>
                <w:sz w:val="24"/>
                <w:szCs w:val="24"/>
              </w:rPr>
              <w:t>第70条（三）</w:t>
            </w:r>
          </w:p>
        </w:tc>
        <w:tc>
          <w:tcPr>
            <w:tcW w:w="3717" w:type="dxa"/>
            <w:vAlign w:val="center"/>
          </w:tcPr>
          <w:p w:rsidR="00207374" w:rsidRPr="00191E5E" w:rsidRDefault="00155CFA" w:rsidP="00BF5E8D">
            <w:pPr>
              <w:jc w:val="left"/>
              <w:rPr>
                <w:rFonts w:ascii="仿宋_GB2312" w:eastAsia="仿宋_GB2312" w:hAnsi="宋体"/>
                <w:sz w:val="24"/>
                <w:szCs w:val="24"/>
              </w:rPr>
            </w:pPr>
            <w:r w:rsidRPr="00155CFA">
              <w:rPr>
                <w:rFonts w:ascii="仿宋_GB2312" w:eastAsia="仿宋_GB2312" w:hAnsi="宋体" w:hint="eastAsia"/>
                <w:sz w:val="24"/>
                <w:szCs w:val="24"/>
              </w:rPr>
              <w:t>行情信息的传输：本机构于T日24:00前将当日的养老金产品份额净值、养老金产品状态等信息发送至销售机构，销售机构网点于T+1日9:30之前公示</w:t>
            </w:r>
            <w:r w:rsidR="00207374">
              <w:rPr>
                <w:rFonts w:ascii="仿宋_GB2312" w:eastAsia="仿宋_GB2312" w:hAnsi="宋体" w:hint="eastAsia"/>
                <w:sz w:val="24"/>
                <w:szCs w:val="24"/>
              </w:rPr>
              <w:t>。</w:t>
            </w:r>
          </w:p>
        </w:tc>
        <w:tc>
          <w:tcPr>
            <w:tcW w:w="3654" w:type="dxa"/>
            <w:vAlign w:val="center"/>
          </w:tcPr>
          <w:p w:rsidR="00207374" w:rsidRPr="00191E5E" w:rsidRDefault="00155CFA" w:rsidP="00BF5E8D">
            <w:pPr>
              <w:rPr>
                <w:rFonts w:ascii="仿宋_GB2312" w:eastAsia="仿宋_GB2312" w:hAnsi="宋体"/>
                <w:sz w:val="24"/>
                <w:szCs w:val="24"/>
              </w:rPr>
            </w:pPr>
            <w:r w:rsidRPr="00155CFA">
              <w:rPr>
                <w:rFonts w:ascii="仿宋_GB2312" w:eastAsia="仿宋_GB2312" w:hAnsi="宋体" w:hint="eastAsia"/>
                <w:sz w:val="24"/>
                <w:szCs w:val="24"/>
              </w:rPr>
              <w:t>行情信息的传输：本机构于T+1日9:00前将当日的养老金产品份额净值、养老金产品状态等信息发送至销售机构，销售机构网点于T+1日进行公示。</w:t>
            </w:r>
          </w:p>
        </w:tc>
      </w:tr>
    </w:tbl>
    <w:p w:rsidR="00B1632A" w:rsidRPr="00000801" w:rsidRDefault="00B1632A" w:rsidP="00BF5E8D">
      <w:pPr>
        <w:pStyle w:val="Default"/>
        <w:rPr>
          <w:rFonts w:ascii="仿宋_GB2312" w:eastAsia="仿宋_GB2312" w:hAnsi="仿宋"/>
          <w:sz w:val="32"/>
          <w:szCs w:val="32"/>
        </w:rPr>
      </w:pPr>
    </w:p>
    <w:sectPr w:rsidR="00B1632A" w:rsidRPr="00000801" w:rsidSect="00BF5E8D">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7" w:charSpace="609"/>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D9B" w:rsidRDefault="00D92D9B" w:rsidP="00DD7770">
      <w:r>
        <w:separator/>
      </w:r>
    </w:p>
  </w:endnote>
  <w:endnote w:type="continuationSeparator" w:id="0">
    <w:p w:rsidR="00D92D9B" w:rsidRDefault="00D92D9B" w:rsidP="00DD7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0030101010101"/>
    <w:charset w:val="86"/>
    <w:family w:val="auto"/>
    <w:pitch w:val="variable"/>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E8D" w:rsidRDefault="00BF5E8D">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9082620"/>
      <w:docPartObj>
        <w:docPartGallery w:val="Page Numbers (Bottom of Page)"/>
        <w:docPartUnique/>
      </w:docPartObj>
    </w:sdtPr>
    <w:sdtEndPr/>
    <w:sdtContent>
      <w:p w:rsidR="00207374" w:rsidRDefault="00207374">
        <w:pPr>
          <w:pStyle w:val="a5"/>
          <w:jc w:val="center"/>
        </w:pPr>
        <w:r>
          <w:fldChar w:fldCharType="begin"/>
        </w:r>
        <w:r>
          <w:instrText>PAGE   \* MERGEFORMAT</w:instrText>
        </w:r>
        <w:r>
          <w:fldChar w:fldCharType="separate"/>
        </w:r>
        <w:r w:rsidR="00BF5E8D" w:rsidRPr="00BF5E8D">
          <w:rPr>
            <w:noProof/>
            <w:lang w:val="zh-CN"/>
          </w:rPr>
          <w:t>2</w:t>
        </w:r>
        <w:r>
          <w:rPr>
            <w:noProof/>
            <w:lang w:val="zh-CN"/>
          </w:rPr>
          <w:fldChar w:fldCharType="end"/>
        </w:r>
      </w:p>
    </w:sdtContent>
  </w:sdt>
  <w:p w:rsidR="00207374" w:rsidRDefault="00207374">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E8D" w:rsidRDefault="00BF5E8D">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D9B" w:rsidRDefault="00D92D9B" w:rsidP="00DD7770">
      <w:r>
        <w:separator/>
      </w:r>
    </w:p>
  </w:footnote>
  <w:footnote w:type="continuationSeparator" w:id="0">
    <w:p w:rsidR="00D92D9B" w:rsidRDefault="00D92D9B" w:rsidP="00DD777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E8D" w:rsidRDefault="00BF5E8D" w:rsidP="00BF5E8D">
    <w:pPr>
      <w:pStyle w:val="a3"/>
      <w:pBdr>
        <w:bottom w:val="none" w:sz="0" w:space="0"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374" w:rsidRDefault="00207374" w:rsidP="00BF5E8D">
    <w:pPr>
      <w:pStyle w:val="a3"/>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E8D" w:rsidRDefault="00BF5E8D">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E4FCF"/>
    <w:multiLevelType w:val="hybridMultilevel"/>
    <w:tmpl w:val="A920B830"/>
    <w:lvl w:ilvl="0" w:tplc="9E909B96">
      <w:start w:val="1"/>
      <w:numFmt w:val="decimal"/>
      <w:lvlText w:val="第%1条 "/>
      <w:lvlJc w:val="left"/>
      <w:pPr>
        <w:tabs>
          <w:tab w:val="num" w:pos="1440"/>
        </w:tabs>
        <w:ind w:left="1440" w:hanging="720"/>
      </w:pPr>
      <w:rPr>
        <w:rFonts w:hint="eastAsia"/>
        <w:b/>
        <w:i w:val="0"/>
        <w:color w:val="auto"/>
        <w:lang w:val="en-US"/>
      </w:rPr>
    </w:lvl>
    <w:lvl w:ilvl="1" w:tplc="A816D3A8">
      <w:start w:val="1"/>
      <w:numFmt w:val="japaneseCounting"/>
      <w:lvlText w:val="（%2）"/>
      <w:lvlJc w:val="left"/>
      <w:pPr>
        <w:tabs>
          <w:tab w:val="num" w:pos="2033"/>
        </w:tabs>
        <w:ind w:left="2033" w:hanging="720"/>
      </w:pPr>
      <w:rPr>
        <w:rFonts w:hint="eastAsia"/>
      </w:rPr>
    </w:lvl>
    <w:lvl w:ilvl="2" w:tplc="E12E4838">
      <w:start w:val="1"/>
      <w:numFmt w:val="japaneseCounting"/>
      <w:lvlText w:val="第%3节"/>
      <w:lvlJc w:val="left"/>
      <w:pPr>
        <w:tabs>
          <w:tab w:val="num" w:pos="2993"/>
        </w:tabs>
        <w:ind w:left="2993" w:hanging="1260"/>
      </w:pPr>
      <w:rPr>
        <w:rFonts w:hint="eastAsia"/>
      </w:rPr>
    </w:lvl>
    <w:lvl w:ilvl="3" w:tplc="D7348AD2">
      <w:start w:val="3"/>
      <w:numFmt w:val="japaneseCounting"/>
      <w:lvlText w:val="第%4章"/>
      <w:lvlJc w:val="left"/>
      <w:pPr>
        <w:tabs>
          <w:tab w:val="num" w:pos="3878"/>
        </w:tabs>
        <w:ind w:left="3878" w:hanging="1725"/>
      </w:pPr>
      <w:rPr>
        <w:rFonts w:hint="eastAsia"/>
      </w:rPr>
    </w:lvl>
    <w:lvl w:ilvl="4" w:tplc="C1964A0C">
      <w:start w:val="1"/>
      <w:numFmt w:val="decimal"/>
      <w:lvlText w:val="（%5）"/>
      <w:lvlJc w:val="left"/>
      <w:pPr>
        <w:tabs>
          <w:tab w:val="num" w:pos="3293"/>
        </w:tabs>
        <w:ind w:left="3293" w:hanging="720"/>
      </w:pPr>
      <w:rPr>
        <w:rFonts w:hint="eastAsia"/>
      </w:rPr>
    </w:lvl>
    <w:lvl w:ilvl="5" w:tplc="597C6F3E">
      <w:start w:val="1"/>
      <w:numFmt w:val="japaneseCounting"/>
      <w:lvlText w:val="（%6、"/>
      <w:lvlJc w:val="left"/>
      <w:pPr>
        <w:tabs>
          <w:tab w:val="num" w:pos="3713"/>
        </w:tabs>
        <w:ind w:left="3713" w:hanging="720"/>
      </w:pPr>
      <w:rPr>
        <w:rFonts w:ascii="Times New Roman" w:hAnsi="Times New Roman" w:hint="default"/>
      </w:rPr>
    </w:lvl>
    <w:lvl w:ilvl="6" w:tplc="0409000F" w:tentative="1">
      <w:start w:val="1"/>
      <w:numFmt w:val="decimal"/>
      <w:lvlText w:val="%7."/>
      <w:lvlJc w:val="left"/>
      <w:pPr>
        <w:tabs>
          <w:tab w:val="num" w:pos="3833"/>
        </w:tabs>
        <w:ind w:left="3833" w:hanging="420"/>
      </w:pPr>
    </w:lvl>
    <w:lvl w:ilvl="7" w:tplc="04090019" w:tentative="1">
      <w:start w:val="1"/>
      <w:numFmt w:val="lowerLetter"/>
      <w:lvlText w:val="%8)"/>
      <w:lvlJc w:val="left"/>
      <w:pPr>
        <w:tabs>
          <w:tab w:val="num" w:pos="4253"/>
        </w:tabs>
        <w:ind w:left="4253" w:hanging="420"/>
      </w:pPr>
    </w:lvl>
    <w:lvl w:ilvl="8" w:tplc="0409001B" w:tentative="1">
      <w:start w:val="1"/>
      <w:numFmt w:val="lowerRoman"/>
      <w:lvlText w:val="%9."/>
      <w:lvlJc w:val="right"/>
      <w:pPr>
        <w:tabs>
          <w:tab w:val="num" w:pos="4673"/>
        </w:tabs>
        <w:ind w:left="467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213"/>
  <w:drawingGridVerticalSpacing w:val="317"/>
  <w:displayHorizontalDrawingGridEvery w:val="0"/>
  <w:characterSpacingControl w:val="compressPunctuation"/>
  <w:hdrShapeDefaults>
    <o:shapedefaults v:ext="edit" spidmax="41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770"/>
    <w:rsid w:val="00000801"/>
    <w:rsid w:val="0000683A"/>
    <w:rsid w:val="00006A73"/>
    <w:rsid w:val="000125F8"/>
    <w:rsid w:val="000262AD"/>
    <w:rsid w:val="00043E97"/>
    <w:rsid w:val="0006094C"/>
    <w:rsid w:val="000642C9"/>
    <w:rsid w:val="000747A6"/>
    <w:rsid w:val="000944B3"/>
    <w:rsid w:val="000C2380"/>
    <w:rsid w:val="000C2452"/>
    <w:rsid w:val="000C5083"/>
    <w:rsid w:val="000D52E7"/>
    <w:rsid w:val="000E12BC"/>
    <w:rsid w:val="000E60B0"/>
    <w:rsid w:val="0010749B"/>
    <w:rsid w:val="00116141"/>
    <w:rsid w:val="0013048D"/>
    <w:rsid w:val="00130E8F"/>
    <w:rsid w:val="00155CFA"/>
    <w:rsid w:val="00157851"/>
    <w:rsid w:val="0015785C"/>
    <w:rsid w:val="001739F2"/>
    <w:rsid w:val="001740D9"/>
    <w:rsid w:val="00174835"/>
    <w:rsid w:val="001809DB"/>
    <w:rsid w:val="0018343A"/>
    <w:rsid w:val="00191E5E"/>
    <w:rsid w:val="001A2C60"/>
    <w:rsid w:val="001A736D"/>
    <w:rsid w:val="001B2DB6"/>
    <w:rsid w:val="002025C4"/>
    <w:rsid w:val="00207374"/>
    <w:rsid w:val="00211A9D"/>
    <w:rsid w:val="0021398A"/>
    <w:rsid w:val="00215115"/>
    <w:rsid w:val="002440DF"/>
    <w:rsid w:val="00247116"/>
    <w:rsid w:val="0025517A"/>
    <w:rsid w:val="002629F9"/>
    <w:rsid w:val="00263BD5"/>
    <w:rsid w:val="00264DE2"/>
    <w:rsid w:val="002651CE"/>
    <w:rsid w:val="0029031C"/>
    <w:rsid w:val="002A3678"/>
    <w:rsid w:val="002D4CCD"/>
    <w:rsid w:val="002F00B5"/>
    <w:rsid w:val="002F3740"/>
    <w:rsid w:val="0034774E"/>
    <w:rsid w:val="00363366"/>
    <w:rsid w:val="00371E90"/>
    <w:rsid w:val="00376247"/>
    <w:rsid w:val="003863AF"/>
    <w:rsid w:val="003A03AB"/>
    <w:rsid w:val="003A3B85"/>
    <w:rsid w:val="0040732C"/>
    <w:rsid w:val="004121C4"/>
    <w:rsid w:val="004351FC"/>
    <w:rsid w:val="004476DE"/>
    <w:rsid w:val="00450D4C"/>
    <w:rsid w:val="00451166"/>
    <w:rsid w:val="00457A79"/>
    <w:rsid w:val="00486512"/>
    <w:rsid w:val="004A6603"/>
    <w:rsid w:val="004B212F"/>
    <w:rsid w:val="004C1DF5"/>
    <w:rsid w:val="004C65D8"/>
    <w:rsid w:val="004D248C"/>
    <w:rsid w:val="004D4117"/>
    <w:rsid w:val="004E1B67"/>
    <w:rsid w:val="004F3B49"/>
    <w:rsid w:val="004F4E22"/>
    <w:rsid w:val="00501266"/>
    <w:rsid w:val="005128B5"/>
    <w:rsid w:val="00521373"/>
    <w:rsid w:val="00522E36"/>
    <w:rsid w:val="005410E1"/>
    <w:rsid w:val="005442FA"/>
    <w:rsid w:val="00551725"/>
    <w:rsid w:val="00555F9C"/>
    <w:rsid w:val="005560D1"/>
    <w:rsid w:val="00557C65"/>
    <w:rsid w:val="00562529"/>
    <w:rsid w:val="00565FAE"/>
    <w:rsid w:val="005728D6"/>
    <w:rsid w:val="0057520C"/>
    <w:rsid w:val="00581888"/>
    <w:rsid w:val="0058659A"/>
    <w:rsid w:val="00586A21"/>
    <w:rsid w:val="00595F9F"/>
    <w:rsid w:val="005A7D20"/>
    <w:rsid w:val="005B1644"/>
    <w:rsid w:val="0060100C"/>
    <w:rsid w:val="0062283A"/>
    <w:rsid w:val="00630A86"/>
    <w:rsid w:val="00630B65"/>
    <w:rsid w:val="006318B5"/>
    <w:rsid w:val="00641AFF"/>
    <w:rsid w:val="00646503"/>
    <w:rsid w:val="006524E7"/>
    <w:rsid w:val="00653FD8"/>
    <w:rsid w:val="0066211D"/>
    <w:rsid w:val="00663D8A"/>
    <w:rsid w:val="00673258"/>
    <w:rsid w:val="00676245"/>
    <w:rsid w:val="00677FAF"/>
    <w:rsid w:val="006956F9"/>
    <w:rsid w:val="006B7A4B"/>
    <w:rsid w:val="006E1E7A"/>
    <w:rsid w:val="007307D0"/>
    <w:rsid w:val="00743431"/>
    <w:rsid w:val="007536D4"/>
    <w:rsid w:val="00757D6A"/>
    <w:rsid w:val="007624E6"/>
    <w:rsid w:val="00763E54"/>
    <w:rsid w:val="00785B9C"/>
    <w:rsid w:val="0079457E"/>
    <w:rsid w:val="00794B3C"/>
    <w:rsid w:val="007A53C4"/>
    <w:rsid w:val="007C710F"/>
    <w:rsid w:val="007E4718"/>
    <w:rsid w:val="00804939"/>
    <w:rsid w:val="00805CF5"/>
    <w:rsid w:val="00807618"/>
    <w:rsid w:val="00810629"/>
    <w:rsid w:val="00812A21"/>
    <w:rsid w:val="00832D6B"/>
    <w:rsid w:val="0084109B"/>
    <w:rsid w:val="00845AE8"/>
    <w:rsid w:val="008507F7"/>
    <w:rsid w:val="00853983"/>
    <w:rsid w:val="00876420"/>
    <w:rsid w:val="00890D14"/>
    <w:rsid w:val="008930A8"/>
    <w:rsid w:val="0089491D"/>
    <w:rsid w:val="008977CE"/>
    <w:rsid w:val="008B181E"/>
    <w:rsid w:val="008D0A2E"/>
    <w:rsid w:val="008D5BA7"/>
    <w:rsid w:val="009053D1"/>
    <w:rsid w:val="00911300"/>
    <w:rsid w:val="00913326"/>
    <w:rsid w:val="00915779"/>
    <w:rsid w:val="0092368A"/>
    <w:rsid w:val="009365D5"/>
    <w:rsid w:val="00964DCE"/>
    <w:rsid w:val="00971B86"/>
    <w:rsid w:val="00983AFB"/>
    <w:rsid w:val="009865CE"/>
    <w:rsid w:val="009A5496"/>
    <w:rsid w:val="009A652A"/>
    <w:rsid w:val="009A6D40"/>
    <w:rsid w:val="009B3856"/>
    <w:rsid w:val="009D02E0"/>
    <w:rsid w:val="009E2CBE"/>
    <w:rsid w:val="009F0573"/>
    <w:rsid w:val="009F633B"/>
    <w:rsid w:val="00A21593"/>
    <w:rsid w:val="00A27296"/>
    <w:rsid w:val="00A4764A"/>
    <w:rsid w:val="00A55518"/>
    <w:rsid w:val="00A631DA"/>
    <w:rsid w:val="00A831FF"/>
    <w:rsid w:val="00AA067A"/>
    <w:rsid w:val="00AA2E37"/>
    <w:rsid w:val="00AB76E6"/>
    <w:rsid w:val="00AC0F31"/>
    <w:rsid w:val="00AD7903"/>
    <w:rsid w:val="00AF5102"/>
    <w:rsid w:val="00B108D2"/>
    <w:rsid w:val="00B1632A"/>
    <w:rsid w:val="00B16AE2"/>
    <w:rsid w:val="00B34794"/>
    <w:rsid w:val="00B56797"/>
    <w:rsid w:val="00B63DBC"/>
    <w:rsid w:val="00B702F7"/>
    <w:rsid w:val="00B86F68"/>
    <w:rsid w:val="00B9054B"/>
    <w:rsid w:val="00B97B15"/>
    <w:rsid w:val="00BB3845"/>
    <w:rsid w:val="00BC6154"/>
    <w:rsid w:val="00BD73BD"/>
    <w:rsid w:val="00BE3DC9"/>
    <w:rsid w:val="00BF3180"/>
    <w:rsid w:val="00BF4529"/>
    <w:rsid w:val="00BF5E8D"/>
    <w:rsid w:val="00C044D0"/>
    <w:rsid w:val="00C11469"/>
    <w:rsid w:val="00C13F8A"/>
    <w:rsid w:val="00C6083C"/>
    <w:rsid w:val="00CE1713"/>
    <w:rsid w:val="00CF0B82"/>
    <w:rsid w:val="00CF7D0E"/>
    <w:rsid w:val="00D279BB"/>
    <w:rsid w:val="00D304A9"/>
    <w:rsid w:val="00D4310B"/>
    <w:rsid w:val="00D5013F"/>
    <w:rsid w:val="00D519DA"/>
    <w:rsid w:val="00D6716C"/>
    <w:rsid w:val="00D70B65"/>
    <w:rsid w:val="00D72C4C"/>
    <w:rsid w:val="00D7362C"/>
    <w:rsid w:val="00D7512C"/>
    <w:rsid w:val="00D878E2"/>
    <w:rsid w:val="00D92430"/>
    <w:rsid w:val="00D92D9B"/>
    <w:rsid w:val="00DA0200"/>
    <w:rsid w:val="00DA3143"/>
    <w:rsid w:val="00DA34BF"/>
    <w:rsid w:val="00DA797F"/>
    <w:rsid w:val="00DB7F28"/>
    <w:rsid w:val="00DC2B2E"/>
    <w:rsid w:val="00DD0CE1"/>
    <w:rsid w:val="00DD55A4"/>
    <w:rsid w:val="00DD6C5E"/>
    <w:rsid w:val="00DD6EE4"/>
    <w:rsid w:val="00DD7031"/>
    <w:rsid w:val="00DD7770"/>
    <w:rsid w:val="00DE03D7"/>
    <w:rsid w:val="00DE159F"/>
    <w:rsid w:val="00DE3F01"/>
    <w:rsid w:val="00DE486F"/>
    <w:rsid w:val="00E00926"/>
    <w:rsid w:val="00E14A13"/>
    <w:rsid w:val="00E166BC"/>
    <w:rsid w:val="00E22C2B"/>
    <w:rsid w:val="00E330D2"/>
    <w:rsid w:val="00E37A0E"/>
    <w:rsid w:val="00E665D1"/>
    <w:rsid w:val="00E710B7"/>
    <w:rsid w:val="00E73DE4"/>
    <w:rsid w:val="00E77AD7"/>
    <w:rsid w:val="00E852D8"/>
    <w:rsid w:val="00EA2BA3"/>
    <w:rsid w:val="00EA46CC"/>
    <w:rsid w:val="00EA7A5A"/>
    <w:rsid w:val="00EB4EF7"/>
    <w:rsid w:val="00EB5A0F"/>
    <w:rsid w:val="00EC449F"/>
    <w:rsid w:val="00EE443B"/>
    <w:rsid w:val="00EF103F"/>
    <w:rsid w:val="00F0321A"/>
    <w:rsid w:val="00F27A72"/>
    <w:rsid w:val="00F409FB"/>
    <w:rsid w:val="00F86D67"/>
    <w:rsid w:val="00F9694D"/>
    <w:rsid w:val="00FB0987"/>
    <w:rsid w:val="00FB3BFA"/>
    <w:rsid w:val="00FB5B79"/>
    <w:rsid w:val="00FE04A1"/>
    <w:rsid w:val="00FE4B16"/>
    <w:rsid w:val="00FF31D2"/>
    <w:rsid w:val="00FF63FE"/>
    <w:rsid w:val="00FF6F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02"/>
    <o:shapelayout v:ext="edit">
      <o:idmap v:ext="edit" data="1"/>
    </o:shapelayout>
  </w:shapeDefaults>
  <w:decimalSymbol w:val="."/>
  <w:listSeparator w:val=","/>
  <w15:docId w15:val="{4A3377EC-BA99-4E5C-9318-BAB8A608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7770"/>
    <w:pPr>
      <w:widowControl w:val="0"/>
      <w:jc w:val="both"/>
    </w:pPr>
    <w:rPr>
      <w:rFonts w:ascii="Calibri" w:eastAsia="宋体" w:hAnsi="Calibri" w:cs="黑体"/>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777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DD7770"/>
    <w:rPr>
      <w:sz w:val="18"/>
      <w:szCs w:val="18"/>
    </w:rPr>
  </w:style>
  <w:style w:type="paragraph" w:styleId="a5">
    <w:name w:val="footer"/>
    <w:basedOn w:val="a"/>
    <w:link w:val="a6"/>
    <w:uiPriority w:val="99"/>
    <w:unhideWhenUsed/>
    <w:rsid w:val="00DD777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DD7770"/>
    <w:rPr>
      <w:sz w:val="18"/>
      <w:szCs w:val="18"/>
    </w:rPr>
  </w:style>
  <w:style w:type="paragraph" w:customStyle="1" w:styleId="Default">
    <w:name w:val="Default"/>
    <w:rsid w:val="00DD7770"/>
    <w:pPr>
      <w:widowControl w:val="0"/>
      <w:autoSpaceDE w:val="0"/>
      <w:autoSpaceDN w:val="0"/>
      <w:adjustRightInd w:val="0"/>
    </w:pPr>
    <w:rPr>
      <w:rFonts w:ascii="宋体" w:eastAsia="宋体" w:hAnsi="Times New Roman" w:cs="宋体"/>
      <w:color w:val="000000"/>
      <w:kern w:val="0"/>
      <w:sz w:val="24"/>
      <w:szCs w:val="24"/>
    </w:rPr>
  </w:style>
  <w:style w:type="paragraph" w:styleId="a7">
    <w:name w:val="Balloon Text"/>
    <w:basedOn w:val="a"/>
    <w:link w:val="a8"/>
    <w:uiPriority w:val="99"/>
    <w:semiHidden/>
    <w:unhideWhenUsed/>
    <w:rsid w:val="001739F2"/>
    <w:rPr>
      <w:sz w:val="18"/>
      <w:szCs w:val="18"/>
    </w:rPr>
  </w:style>
  <w:style w:type="character" w:customStyle="1" w:styleId="a8">
    <w:name w:val="批注框文本 字符"/>
    <w:basedOn w:val="a0"/>
    <w:link w:val="a7"/>
    <w:uiPriority w:val="99"/>
    <w:semiHidden/>
    <w:rsid w:val="001739F2"/>
    <w:rPr>
      <w:rFonts w:ascii="Calibri" w:eastAsia="宋体" w:hAnsi="Calibri" w:cs="黑体"/>
      <w:sz w:val="18"/>
      <w:szCs w:val="18"/>
    </w:rPr>
  </w:style>
  <w:style w:type="character" w:styleId="a9">
    <w:name w:val="annotation reference"/>
    <w:basedOn w:val="a0"/>
    <w:unhideWhenUsed/>
    <w:rsid w:val="0018343A"/>
    <w:rPr>
      <w:sz w:val="21"/>
      <w:szCs w:val="21"/>
    </w:rPr>
  </w:style>
  <w:style w:type="paragraph" w:styleId="aa">
    <w:name w:val="annotation text"/>
    <w:basedOn w:val="a"/>
    <w:link w:val="ab"/>
    <w:uiPriority w:val="99"/>
    <w:semiHidden/>
    <w:unhideWhenUsed/>
    <w:rsid w:val="0018343A"/>
    <w:pPr>
      <w:jc w:val="left"/>
    </w:pPr>
  </w:style>
  <w:style w:type="character" w:customStyle="1" w:styleId="ab">
    <w:name w:val="批注文字 字符"/>
    <w:basedOn w:val="a0"/>
    <w:link w:val="aa"/>
    <w:uiPriority w:val="99"/>
    <w:semiHidden/>
    <w:rsid w:val="0018343A"/>
    <w:rPr>
      <w:rFonts w:ascii="Calibri" w:eastAsia="宋体" w:hAnsi="Calibri" w:cs="黑体"/>
    </w:rPr>
  </w:style>
  <w:style w:type="paragraph" w:styleId="ac">
    <w:name w:val="annotation subject"/>
    <w:basedOn w:val="aa"/>
    <w:next w:val="aa"/>
    <w:link w:val="ad"/>
    <w:uiPriority w:val="99"/>
    <w:semiHidden/>
    <w:unhideWhenUsed/>
    <w:rsid w:val="0018343A"/>
    <w:rPr>
      <w:b/>
      <w:bCs/>
    </w:rPr>
  </w:style>
  <w:style w:type="character" w:customStyle="1" w:styleId="ad">
    <w:name w:val="批注主题 字符"/>
    <w:basedOn w:val="ab"/>
    <w:link w:val="ac"/>
    <w:uiPriority w:val="99"/>
    <w:semiHidden/>
    <w:rsid w:val="0018343A"/>
    <w:rPr>
      <w:rFonts w:ascii="Calibri" w:eastAsia="宋体" w:hAnsi="Calibri" w:cs="黑体"/>
      <w:b/>
      <w:bCs/>
    </w:rPr>
  </w:style>
  <w:style w:type="paragraph" w:styleId="ae">
    <w:name w:val="List Paragraph"/>
    <w:basedOn w:val="a"/>
    <w:uiPriority w:val="34"/>
    <w:qFormat/>
    <w:rsid w:val="00971B86"/>
    <w:pPr>
      <w:ind w:firstLineChars="200" w:firstLine="420"/>
    </w:pPr>
  </w:style>
  <w:style w:type="table" w:styleId="af">
    <w:name w:val="Table Grid"/>
    <w:basedOn w:val="a1"/>
    <w:uiPriority w:val="39"/>
    <w:rsid w:val="00B347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D736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AC5F5-A9AA-4446-83FF-B253F4F6E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369</Words>
  <Characters>2104</Characters>
  <Application>Microsoft Office Word</Application>
  <DocSecurity>0</DocSecurity>
  <Lines>17</Lines>
  <Paragraphs>4</Paragraphs>
  <ScaleCrop>false</ScaleCrop>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养老金管理部-朱智慧</dc:creator>
  <cp:lastModifiedBy>机构业务运营部-罗媛媛</cp:lastModifiedBy>
  <cp:revision>3</cp:revision>
  <cp:lastPrinted>2020-03-12T00:28:00Z</cp:lastPrinted>
  <dcterms:created xsi:type="dcterms:W3CDTF">2020-05-19T02:59:00Z</dcterms:created>
  <dcterms:modified xsi:type="dcterms:W3CDTF">2020-05-19T02:59:00Z</dcterms:modified>
</cp:coreProperties>
</file>