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D0" w:rsidRDefault="001739F2" w:rsidP="002F78D0">
      <w:pPr>
        <w:spacing w:afterLines="100" w:after="317"/>
        <w:jc w:val="center"/>
        <w:rPr>
          <w:rFonts w:ascii="宋体" w:hAnsi="宋体" w:cs="宋体"/>
          <w:sz w:val="44"/>
          <w:szCs w:val="44"/>
        </w:rPr>
      </w:pPr>
      <w:r>
        <w:rPr>
          <w:rFonts w:ascii="宋体" w:hAnsi="宋体" w:cs="宋体" w:hint="eastAsia"/>
          <w:sz w:val="44"/>
          <w:szCs w:val="44"/>
        </w:rPr>
        <w:t>华夏</w:t>
      </w:r>
      <w:proofErr w:type="gramStart"/>
      <w:r>
        <w:rPr>
          <w:rFonts w:ascii="宋体" w:hAnsi="宋体" w:cs="宋体" w:hint="eastAsia"/>
          <w:sz w:val="44"/>
          <w:szCs w:val="44"/>
        </w:rPr>
        <w:t>基金</w:t>
      </w:r>
      <w:r w:rsidR="00676245">
        <w:rPr>
          <w:rFonts w:ascii="宋体" w:hAnsi="宋体" w:cs="宋体" w:hint="eastAsia"/>
          <w:sz w:val="44"/>
          <w:szCs w:val="44"/>
        </w:rPr>
        <w:t>华</w:t>
      </w:r>
      <w:proofErr w:type="gramEnd"/>
      <w:r w:rsidR="000275DD">
        <w:rPr>
          <w:rFonts w:ascii="宋体" w:hAnsi="宋体" w:cs="宋体" w:hint="eastAsia"/>
          <w:sz w:val="44"/>
          <w:szCs w:val="44"/>
        </w:rPr>
        <w:t>硕</w:t>
      </w:r>
      <w:r w:rsidR="00B16AE2">
        <w:rPr>
          <w:rFonts w:ascii="宋体" w:hAnsi="宋体" w:cs="宋体"/>
          <w:sz w:val="44"/>
          <w:szCs w:val="44"/>
        </w:rPr>
        <w:t>信托</w:t>
      </w:r>
      <w:r w:rsidR="00676245">
        <w:rPr>
          <w:rFonts w:ascii="宋体" w:hAnsi="宋体" w:cs="宋体"/>
          <w:sz w:val="44"/>
          <w:szCs w:val="44"/>
        </w:rPr>
        <w:t>型</w:t>
      </w:r>
      <w:r w:rsidR="00DD7770">
        <w:rPr>
          <w:rFonts w:ascii="宋体" w:hAnsi="宋体" w:cs="宋体" w:hint="eastAsia"/>
          <w:sz w:val="44"/>
          <w:szCs w:val="44"/>
        </w:rPr>
        <w:t>养老金产品</w:t>
      </w:r>
    </w:p>
    <w:p w:rsidR="00DD7770" w:rsidRDefault="00DD7770" w:rsidP="002F78D0">
      <w:pPr>
        <w:spacing w:afterLines="100" w:after="317"/>
        <w:jc w:val="center"/>
        <w:rPr>
          <w:rFonts w:ascii="仿宋_GB2312" w:eastAsia="仿宋_GB2312" w:hAnsi="仿宋_GB2312" w:cs="仿宋_GB2312"/>
          <w:sz w:val="32"/>
          <w:szCs w:val="32"/>
        </w:rPr>
      </w:pPr>
      <w:bookmarkStart w:id="0" w:name="_GoBack"/>
      <w:bookmarkEnd w:id="0"/>
      <w:r>
        <w:rPr>
          <w:rFonts w:ascii="宋体" w:hAnsi="宋体" w:cs="宋体" w:hint="eastAsia"/>
          <w:sz w:val="44"/>
          <w:szCs w:val="44"/>
        </w:rPr>
        <w:t>变更内容对照表</w:t>
      </w:r>
      <w:r w:rsidR="00557C65">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3260"/>
        <w:gridCol w:w="4111"/>
      </w:tblGrid>
      <w:tr w:rsidR="00DD7770" w:rsidRPr="00167EAE" w:rsidTr="00557C65">
        <w:trPr>
          <w:trHeight w:val="601"/>
          <w:jc w:val="center"/>
        </w:trPr>
        <w:tc>
          <w:tcPr>
            <w:tcW w:w="8642" w:type="dxa"/>
            <w:gridSpan w:val="3"/>
            <w:tcBorders>
              <w:bottom w:val="single" w:sz="4" w:space="0" w:color="000000"/>
            </w:tcBorders>
            <w:vAlign w:val="center"/>
          </w:tcPr>
          <w:p w:rsidR="00DD7770" w:rsidRPr="00167EAE" w:rsidRDefault="00DD7770" w:rsidP="002F78D0">
            <w:pPr>
              <w:jc w:val="left"/>
              <w:rPr>
                <w:rFonts w:ascii="仿宋_GB2312" w:eastAsia="仿宋_GB2312" w:hAnsi="宋体"/>
                <w:b/>
                <w:sz w:val="24"/>
                <w:szCs w:val="24"/>
              </w:rPr>
            </w:pPr>
            <w:r w:rsidRPr="00167EAE">
              <w:rPr>
                <w:rFonts w:ascii="仿宋_GB2312" w:eastAsia="仿宋_GB2312" w:hint="eastAsia"/>
                <w:b/>
                <w:sz w:val="24"/>
                <w:szCs w:val="24"/>
              </w:rPr>
              <w:t>投资管理合同变更内容</w:t>
            </w:r>
          </w:p>
        </w:tc>
      </w:tr>
      <w:tr w:rsidR="00DD7770" w:rsidRPr="00167EAE" w:rsidTr="00557C65">
        <w:trPr>
          <w:trHeight w:val="601"/>
          <w:jc w:val="center"/>
        </w:trPr>
        <w:tc>
          <w:tcPr>
            <w:tcW w:w="1271" w:type="dxa"/>
            <w:tcBorders>
              <w:bottom w:val="single" w:sz="4" w:space="0" w:color="000000"/>
            </w:tcBorders>
            <w:vAlign w:val="center"/>
          </w:tcPr>
          <w:p w:rsidR="00DD7770" w:rsidRPr="00167EAE" w:rsidRDefault="00DD7770" w:rsidP="002F78D0">
            <w:pPr>
              <w:jc w:val="center"/>
              <w:rPr>
                <w:rFonts w:ascii="仿宋_GB2312" w:eastAsia="仿宋_GB2312" w:hAnsi="宋体"/>
                <w:sz w:val="24"/>
                <w:szCs w:val="24"/>
              </w:rPr>
            </w:pPr>
            <w:r w:rsidRPr="00167EAE">
              <w:rPr>
                <w:rFonts w:ascii="仿宋_GB2312" w:eastAsia="仿宋_GB2312" w:hAnsi="宋体" w:hint="eastAsia"/>
                <w:sz w:val="24"/>
                <w:szCs w:val="24"/>
              </w:rPr>
              <w:t>章节</w:t>
            </w:r>
          </w:p>
        </w:tc>
        <w:tc>
          <w:tcPr>
            <w:tcW w:w="3260" w:type="dxa"/>
            <w:tcBorders>
              <w:bottom w:val="single" w:sz="4" w:space="0" w:color="000000"/>
            </w:tcBorders>
            <w:vAlign w:val="center"/>
          </w:tcPr>
          <w:p w:rsidR="00DD7770" w:rsidRPr="00167EAE" w:rsidRDefault="00DD7770" w:rsidP="002F78D0">
            <w:pPr>
              <w:jc w:val="center"/>
              <w:rPr>
                <w:rFonts w:ascii="仿宋_GB2312" w:eastAsia="仿宋_GB2312" w:hAnsi="宋体"/>
                <w:sz w:val="24"/>
                <w:szCs w:val="24"/>
              </w:rPr>
            </w:pPr>
            <w:r w:rsidRPr="00167EAE">
              <w:rPr>
                <w:rFonts w:ascii="仿宋_GB2312" w:eastAsia="仿宋_GB2312" w:hAnsi="宋体" w:hint="eastAsia"/>
                <w:sz w:val="24"/>
                <w:szCs w:val="24"/>
              </w:rPr>
              <w:t>原投资管理合同内容</w:t>
            </w:r>
          </w:p>
        </w:tc>
        <w:tc>
          <w:tcPr>
            <w:tcW w:w="4111" w:type="dxa"/>
            <w:tcBorders>
              <w:bottom w:val="single" w:sz="4" w:space="0" w:color="000000"/>
            </w:tcBorders>
            <w:vAlign w:val="center"/>
          </w:tcPr>
          <w:p w:rsidR="00DD7770" w:rsidRPr="00167EAE" w:rsidRDefault="00DD7770" w:rsidP="002F78D0">
            <w:pPr>
              <w:jc w:val="center"/>
              <w:rPr>
                <w:rFonts w:ascii="仿宋_GB2312" w:eastAsia="仿宋_GB2312" w:hAnsi="宋体"/>
                <w:sz w:val="24"/>
                <w:szCs w:val="24"/>
              </w:rPr>
            </w:pPr>
            <w:r w:rsidRPr="00167EAE">
              <w:rPr>
                <w:rFonts w:ascii="仿宋_GB2312" w:eastAsia="仿宋_GB2312" w:hAnsi="宋体" w:hint="eastAsia"/>
                <w:sz w:val="24"/>
                <w:szCs w:val="24"/>
              </w:rPr>
              <w:t>变更后对应内容</w:t>
            </w:r>
          </w:p>
        </w:tc>
      </w:tr>
      <w:tr w:rsidR="00C6083C" w:rsidRPr="00167EAE" w:rsidTr="00557C65">
        <w:trPr>
          <w:trHeight w:val="601"/>
          <w:jc w:val="center"/>
        </w:trPr>
        <w:tc>
          <w:tcPr>
            <w:tcW w:w="1271" w:type="dxa"/>
            <w:tcBorders>
              <w:bottom w:val="single" w:sz="4" w:space="0" w:color="000000"/>
            </w:tcBorders>
            <w:vAlign w:val="center"/>
          </w:tcPr>
          <w:p w:rsidR="00C6083C" w:rsidRPr="00167EAE" w:rsidRDefault="0018343A" w:rsidP="002F78D0">
            <w:pPr>
              <w:jc w:val="center"/>
              <w:rPr>
                <w:rFonts w:ascii="仿宋_GB2312" w:eastAsia="仿宋_GB2312" w:hAnsi="宋体"/>
                <w:sz w:val="24"/>
                <w:szCs w:val="24"/>
              </w:rPr>
            </w:pPr>
            <w:r w:rsidRPr="00167EAE">
              <w:rPr>
                <w:rFonts w:ascii="仿宋_GB2312" w:eastAsia="仿宋_GB2312" w:hAnsi="宋体" w:hint="eastAsia"/>
                <w:sz w:val="24"/>
                <w:szCs w:val="24"/>
              </w:rPr>
              <w:t>前言</w:t>
            </w:r>
          </w:p>
        </w:tc>
        <w:tc>
          <w:tcPr>
            <w:tcW w:w="3260" w:type="dxa"/>
            <w:tcBorders>
              <w:bottom w:val="single" w:sz="4" w:space="0" w:color="000000"/>
            </w:tcBorders>
            <w:vAlign w:val="center"/>
          </w:tcPr>
          <w:p w:rsidR="00C6083C" w:rsidRPr="00167EAE" w:rsidRDefault="00551725" w:rsidP="002F78D0">
            <w:pPr>
              <w:rPr>
                <w:rFonts w:ascii="仿宋_GB2312" w:eastAsia="仿宋_GB2312" w:hAnsi="宋体"/>
                <w:sz w:val="24"/>
                <w:szCs w:val="24"/>
              </w:rPr>
            </w:pPr>
            <w:r w:rsidRPr="00167EAE">
              <w:rPr>
                <w:rFonts w:ascii="仿宋_GB2312" w:eastAsia="仿宋_GB2312" w:hAnsi="宋体" w:hint="eastAsia"/>
                <w:sz w:val="24"/>
                <w:szCs w:val="24"/>
              </w:rPr>
              <w:t>《企业年金试行办法》（劳动和社会保障部令第20</w:t>
            </w:r>
            <w:r w:rsidR="00E21324">
              <w:rPr>
                <w:rFonts w:ascii="仿宋_GB2312" w:eastAsia="仿宋_GB2312" w:hAnsi="宋体" w:hint="eastAsia"/>
                <w:sz w:val="24"/>
                <w:szCs w:val="24"/>
              </w:rPr>
              <w:t>号）</w:t>
            </w:r>
          </w:p>
        </w:tc>
        <w:tc>
          <w:tcPr>
            <w:tcW w:w="4111" w:type="dxa"/>
            <w:tcBorders>
              <w:bottom w:val="single" w:sz="4" w:space="0" w:color="000000"/>
            </w:tcBorders>
            <w:vAlign w:val="center"/>
          </w:tcPr>
          <w:p w:rsidR="00C6083C" w:rsidRPr="00167EAE" w:rsidRDefault="00551725" w:rsidP="002F78D0">
            <w:pPr>
              <w:rPr>
                <w:rFonts w:ascii="仿宋_GB2312" w:eastAsia="仿宋_GB2312"/>
                <w:sz w:val="24"/>
                <w:szCs w:val="24"/>
                <w:shd w:val="clear" w:color="auto" w:fill="FFFFFF"/>
              </w:rPr>
            </w:pPr>
            <w:r w:rsidRPr="00167EAE">
              <w:rPr>
                <w:rFonts w:ascii="仿宋_GB2312" w:eastAsia="仿宋_GB2312" w:hint="eastAsia"/>
                <w:sz w:val="24"/>
                <w:szCs w:val="24"/>
                <w:shd w:val="clear" w:color="auto" w:fill="FFFFFF"/>
              </w:rPr>
              <w:t>《企业年金办法》（人力资源和社会保障部、财政部令第36号）</w:t>
            </w:r>
          </w:p>
        </w:tc>
      </w:tr>
      <w:tr w:rsidR="000B38EE" w:rsidRPr="00167EAE" w:rsidTr="00557C65">
        <w:trPr>
          <w:trHeight w:val="601"/>
          <w:jc w:val="center"/>
        </w:trPr>
        <w:tc>
          <w:tcPr>
            <w:tcW w:w="1271" w:type="dxa"/>
            <w:tcBorders>
              <w:bottom w:val="single" w:sz="4" w:space="0" w:color="000000"/>
            </w:tcBorders>
            <w:vAlign w:val="center"/>
          </w:tcPr>
          <w:p w:rsidR="000B38EE" w:rsidRPr="00167EAE" w:rsidRDefault="000B38EE" w:rsidP="002F78D0">
            <w:pPr>
              <w:jc w:val="center"/>
              <w:rPr>
                <w:rFonts w:ascii="仿宋_GB2312" w:eastAsia="仿宋_GB2312" w:hAnsi="宋体"/>
                <w:sz w:val="24"/>
                <w:szCs w:val="24"/>
              </w:rPr>
            </w:pPr>
            <w:r>
              <w:rPr>
                <w:rFonts w:ascii="仿宋_GB2312" w:eastAsia="仿宋_GB2312" w:hAnsi="宋体" w:hint="eastAsia"/>
                <w:sz w:val="24"/>
                <w:szCs w:val="24"/>
              </w:rPr>
              <w:t>1.1</w:t>
            </w:r>
          </w:p>
        </w:tc>
        <w:tc>
          <w:tcPr>
            <w:tcW w:w="3260" w:type="dxa"/>
            <w:tcBorders>
              <w:bottom w:val="single" w:sz="4" w:space="0" w:color="000000"/>
            </w:tcBorders>
            <w:vAlign w:val="center"/>
          </w:tcPr>
          <w:p w:rsidR="000B38EE" w:rsidRPr="00167EAE" w:rsidRDefault="000B38EE" w:rsidP="002F78D0">
            <w:pPr>
              <w:rPr>
                <w:rFonts w:ascii="仿宋_GB2312" w:eastAsia="仿宋_GB2312" w:hAnsi="宋体"/>
                <w:sz w:val="24"/>
                <w:szCs w:val="24"/>
              </w:rPr>
            </w:pPr>
            <w:r w:rsidRPr="000C5083">
              <w:rPr>
                <w:rFonts w:ascii="仿宋_GB2312" w:eastAsia="仿宋_GB2312" w:hint="eastAsia"/>
                <w:sz w:val="24"/>
                <w:szCs w:val="24"/>
                <w:shd w:val="clear" w:color="auto" w:fill="FFFFFF"/>
              </w:rPr>
              <w:t>养老金产品：指由企业年金基金投资管理人发行的、面向企业年金基金定向销售的企业年金基金标准投资组合。</w:t>
            </w:r>
          </w:p>
        </w:tc>
        <w:tc>
          <w:tcPr>
            <w:tcW w:w="4111" w:type="dxa"/>
            <w:tcBorders>
              <w:bottom w:val="single" w:sz="4" w:space="0" w:color="000000"/>
            </w:tcBorders>
            <w:vAlign w:val="center"/>
          </w:tcPr>
          <w:p w:rsidR="000B38EE" w:rsidRPr="00167EAE" w:rsidRDefault="000B38EE" w:rsidP="002F78D0">
            <w:pPr>
              <w:rPr>
                <w:rFonts w:ascii="仿宋_GB2312" w:eastAsia="仿宋_GB2312"/>
                <w:sz w:val="24"/>
                <w:szCs w:val="24"/>
                <w:shd w:val="clear" w:color="auto" w:fill="FFFFFF"/>
              </w:rPr>
            </w:pPr>
            <w:r w:rsidRPr="000C5083">
              <w:rPr>
                <w:rFonts w:ascii="仿宋_GB2312" w:eastAsia="仿宋_GB2312" w:hint="eastAsia"/>
                <w:sz w:val="24"/>
                <w:szCs w:val="24"/>
                <w:shd w:val="clear" w:color="auto" w:fill="FFFFFF"/>
              </w:rPr>
              <w:t>养老金产品：指由企业年金基金投资管理人发行的、面向企业年金基金定向销售的企业年金基金标准投资组合。投资管理人可以面向企业年金基金、职业年金基金，以及其他经人力资源社会保障部认可的合格投资者定向销售养老金产品。</w:t>
            </w:r>
          </w:p>
        </w:tc>
      </w:tr>
      <w:tr w:rsidR="000B38EE" w:rsidRPr="00167EAE" w:rsidTr="00557C65">
        <w:trPr>
          <w:trHeight w:val="601"/>
          <w:jc w:val="center"/>
        </w:trPr>
        <w:tc>
          <w:tcPr>
            <w:tcW w:w="1271" w:type="dxa"/>
            <w:tcBorders>
              <w:bottom w:val="single" w:sz="4" w:space="0" w:color="000000"/>
            </w:tcBorders>
            <w:vAlign w:val="center"/>
          </w:tcPr>
          <w:p w:rsidR="000B38EE" w:rsidRDefault="000B38EE" w:rsidP="002F78D0">
            <w:pPr>
              <w:jc w:val="center"/>
              <w:rPr>
                <w:rFonts w:ascii="仿宋_GB2312" w:eastAsia="仿宋_GB2312" w:hAnsi="宋体"/>
                <w:sz w:val="24"/>
                <w:szCs w:val="24"/>
              </w:rPr>
            </w:pPr>
            <w:r>
              <w:rPr>
                <w:rFonts w:ascii="仿宋_GB2312" w:eastAsia="仿宋_GB2312" w:hAnsi="宋体" w:hint="eastAsia"/>
                <w:sz w:val="24"/>
                <w:szCs w:val="24"/>
              </w:rPr>
              <w:t>1.5</w:t>
            </w:r>
            <w:r>
              <w:rPr>
                <w:rFonts w:ascii="仿宋_GB2312" w:eastAsia="仿宋_GB2312" w:hAnsi="宋体"/>
                <w:sz w:val="24"/>
                <w:szCs w:val="24"/>
              </w:rPr>
              <w:t>-1.7</w:t>
            </w:r>
          </w:p>
          <w:p w:rsidR="000B38EE" w:rsidRPr="00167EAE" w:rsidRDefault="000B38EE" w:rsidP="002F78D0">
            <w:pPr>
              <w:jc w:val="center"/>
              <w:rPr>
                <w:rFonts w:ascii="仿宋_GB2312" w:eastAsia="仿宋_GB2312" w:hAnsi="宋体"/>
                <w:sz w:val="24"/>
                <w:szCs w:val="24"/>
              </w:rPr>
            </w:pPr>
            <w:r>
              <w:rPr>
                <w:rFonts w:ascii="仿宋_GB2312" w:eastAsia="仿宋_GB2312" w:hAnsi="宋体" w:hint="eastAsia"/>
                <w:sz w:val="24"/>
                <w:szCs w:val="24"/>
              </w:rPr>
              <w:t>（新增）</w:t>
            </w:r>
          </w:p>
        </w:tc>
        <w:tc>
          <w:tcPr>
            <w:tcW w:w="3260" w:type="dxa"/>
            <w:tcBorders>
              <w:bottom w:val="single" w:sz="4" w:space="0" w:color="000000"/>
            </w:tcBorders>
            <w:vAlign w:val="center"/>
          </w:tcPr>
          <w:p w:rsidR="000B38EE" w:rsidRPr="00167EAE" w:rsidRDefault="000B38EE" w:rsidP="002F78D0">
            <w:pPr>
              <w:rPr>
                <w:rFonts w:ascii="仿宋_GB2312" w:eastAsia="仿宋_GB2312" w:hAnsi="宋体"/>
                <w:sz w:val="24"/>
                <w:szCs w:val="24"/>
              </w:rPr>
            </w:pPr>
          </w:p>
        </w:tc>
        <w:tc>
          <w:tcPr>
            <w:tcW w:w="4111" w:type="dxa"/>
            <w:tcBorders>
              <w:bottom w:val="single" w:sz="4" w:space="0" w:color="000000"/>
            </w:tcBorders>
            <w:vAlign w:val="center"/>
          </w:tcPr>
          <w:p w:rsidR="000B38EE" w:rsidRPr="000C5083" w:rsidRDefault="000B38EE" w:rsidP="002F78D0">
            <w:pPr>
              <w:rPr>
                <w:rFonts w:ascii="仿宋_GB2312" w:eastAsia="仿宋_GB2312"/>
                <w:sz w:val="24"/>
                <w:szCs w:val="24"/>
                <w:shd w:val="clear" w:color="auto" w:fill="FFFFFF"/>
              </w:rPr>
            </w:pPr>
            <w:r w:rsidRPr="000C5083">
              <w:rPr>
                <w:rFonts w:ascii="仿宋_GB2312" w:eastAsia="仿宋_GB2312" w:hint="eastAsia"/>
                <w:sz w:val="24"/>
                <w:szCs w:val="24"/>
                <w:shd w:val="clear" w:color="auto" w:fill="FFFFFF"/>
              </w:rPr>
              <w:t>1.5  职业年金：指机关事业单位及其工作人员在参加机关事业单位基本养老保险的基础上，建立的补充养老保险制度。</w:t>
            </w:r>
          </w:p>
          <w:p w:rsidR="000B38EE" w:rsidRPr="000C5083" w:rsidRDefault="000B38EE" w:rsidP="002F78D0">
            <w:pPr>
              <w:rPr>
                <w:rFonts w:ascii="仿宋_GB2312" w:eastAsia="仿宋_GB2312"/>
                <w:sz w:val="24"/>
                <w:szCs w:val="24"/>
                <w:shd w:val="clear" w:color="auto" w:fill="FFFFFF"/>
              </w:rPr>
            </w:pPr>
            <w:r w:rsidRPr="000C5083">
              <w:rPr>
                <w:rFonts w:ascii="仿宋_GB2312" w:eastAsia="仿宋_GB2312" w:hint="eastAsia"/>
                <w:sz w:val="24"/>
                <w:szCs w:val="24"/>
                <w:shd w:val="clear" w:color="auto" w:fill="FFFFFF"/>
              </w:rPr>
              <w:t>1.6  职业年金计划：为管理职业年金基金，根据相关法律法规规定由代理人发起的职业年金基金管理单元。</w:t>
            </w:r>
          </w:p>
          <w:p w:rsidR="000B38EE" w:rsidRPr="00167EAE" w:rsidRDefault="000B38EE" w:rsidP="002F78D0">
            <w:pPr>
              <w:rPr>
                <w:rFonts w:ascii="仿宋_GB2312" w:eastAsia="仿宋_GB2312"/>
                <w:sz w:val="24"/>
                <w:szCs w:val="24"/>
                <w:shd w:val="clear" w:color="auto" w:fill="FFFFFF"/>
              </w:rPr>
            </w:pPr>
            <w:r w:rsidRPr="000C5083">
              <w:rPr>
                <w:rFonts w:ascii="仿宋_GB2312" w:eastAsia="仿宋_GB2312" w:hint="eastAsia"/>
                <w:sz w:val="24"/>
                <w:szCs w:val="24"/>
                <w:shd w:val="clear" w:color="auto" w:fill="FFFFFF"/>
              </w:rPr>
              <w:t>1.7  职业年金基金财产：指依法建立的职业年金计划筹集的资金及其投资运营收益形成的机关事业单位补充养老保险基金。</w:t>
            </w:r>
          </w:p>
        </w:tc>
      </w:tr>
      <w:tr w:rsidR="000B38EE" w:rsidRPr="00167EAE" w:rsidTr="00557C65">
        <w:trPr>
          <w:trHeight w:val="601"/>
          <w:jc w:val="center"/>
        </w:trPr>
        <w:tc>
          <w:tcPr>
            <w:tcW w:w="1271" w:type="dxa"/>
            <w:tcBorders>
              <w:bottom w:val="single" w:sz="4" w:space="0" w:color="000000"/>
            </w:tcBorders>
            <w:vAlign w:val="center"/>
          </w:tcPr>
          <w:p w:rsidR="000B38EE" w:rsidRPr="00167EAE" w:rsidRDefault="000B38EE" w:rsidP="002F78D0">
            <w:pPr>
              <w:jc w:val="center"/>
              <w:rPr>
                <w:rFonts w:ascii="仿宋_GB2312" w:eastAsia="仿宋_GB2312" w:hAnsi="宋体"/>
                <w:sz w:val="24"/>
                <w:szCs w:val="24"/>
              </w:rPr>
            </w:pPr>
            <w:r>
              <w:rPr>
                <w:rFonts w:ascii="仿宋_GB2312" w:eastAsia="仿宋_GB2312" w:hAnsi="宋体" w:hint="eastAsia"/>
                <w:sz w:val="24"/>
                <w:szCs w:val="24"/>
              </w:rPr>
              <w:t>1.6</w:t>
            </w:r>
          </w:p>
        </w:tc>
        <w:tc>
          <w:tcPr>
            <w:tcW w:w="3260" w:type="dxa"/>
            <w:tcBorders>
              <w:bottom w:val="single" w:sz="4" w:space="0" w:color="000000"/>
            </w:tcBorders>
            <w:vAlign w:val="center"/>
          </w:tcPr>
          <w:p w:rsidR="000B38EE" w:rsidRPr="00167EAE" w:rsidRDefault="000B38EE" w:rsidP="002F78D0">
            <w:pPr>
              <w:rPr>
                <w:rFonts w:ascii="仿宋_GB2312" w:eastAsia="仿宋_GB2312" w:hAnsi="宋体"/>
                <w:sz w:val="24"/>
                <w:szCs w:val="24"/>
              </w:rPr>
            </w:pPr>
            <w:r w:rsidRPr="000C5083">
              <w:rPr>
                <w:rFonts w:ascii="仿宋_GB2312" w:eastAsia="仿宋_GB2312" w:hint="eastAsia"/>
                <w:sz w:val="24"/>
                <w:szCs w:val="24"/>
                <w:shd w:val="clear" w:color="auto" w:fill="FFFFFF"/>
              </w:rPr>
              <w:t>投资人:根据本合同申购养老金产品份额的企业年金计划或者企业年金计划投资组</w:t>
            </w:r>
            <w:r w:rsidRPr="000C5083">
              <w:rPr>
                <w:rFonts w:ascii="仿宋_GB2312" w:eastAsia="仿宋_GB2312" w:hint="eastAsia"/>
                <w:sz w:val="24"/>
                <w:szCs w:val="24"/>
                <w:shd w:val="clear" w:color="auto" w:fill="FFFFFF"/>
              </w:rPr>
              <w:lastRenderedPageBreak/>
              <w:t>合</w:t>
            </w:r>
            <w:r>
              <w:rPr>
                <w:rFonts w:ascii="仿宋_GB2312" w:eastAsia="仿宋_GB2312" w:hint="eastAsia"/>
                <w:sz w:val="24"/>
                <w:szCs w:val="24"/>
                <w:shd w:val="clear" w:color="auto" w:fill="FFFFFF"/>
              </w:rPr>
              <w:t>，</w:t>
            </w:r>
            <w:r w:rsidRPr="000C5083">
              <w:rPr>
                <w:rFonts w:ascii="仿宋_GB2312" w:eastAsia="仿宋_GB2312" w:hint="eastAsia"/>
                <w:sz w:val="24"/>
                <w:szCs w:val="24"/>
                <w:shd w:val="clear" w:color="auto" w:fill="FFFFFF"/>
              </w:rPr>
              <w:t>由企业年金计划受托人或者企业年金计划投资组合投资管理人代为行使养老金产品的投资人职责。养老金产品投资人在申购成功并取得养老金产品份额后亦称为份额持有人。</w:t>
            </w:r>
          </w:p>
        </w:tc>
        <w:tc>
          <w:tcPr>
            <w:tcW w:w="4111" w:type="dxa"/>
            <w:tcBorders>
              <w:bottom w:val="single" w:sz="4" w:space="0" w:color="000000"/>
            </w:tcBorders>
            <w:vAlign w:val="center"/>
          </w:tcPr>
          <w:p w:rsidR="000B38EE" w:rsidRPr="00167EAE" w:rsidRDefault="000B38EE" w:rsidP="002F78D0">
            <w:pPr>
              <w:rPr>
                <w:rFonts w:ascii="仿宋_GB2312" w:eastAsia="仿宋_GB2312"/>
                <w:sz w:val="24"/>
                <w:szCs w:val="24"/>
                <w:shd w:val="clear" w:color="auto" w:fill="FFFFFF"/>
              </w:rPr>
            </w:pPr>
            <w:r w:rsidRPr="000C5083">
              <w:rPr>
                <w:rFonts w:ascii="仿宋_GB2312" w:eastAsia="仿宋_GB2312" w:hint="eastAsia"/>
                <w:sz w:val="24"/>
                <w:szCs w:val="24"/>
                <w:shd w:val="clear" w:color="auto" w:fill="FFFFFF"/>
              </w:rPr>
              <w:lastRenderedPageBreak/>
              <w:t>投资人:根据本合同申购养老金产品份额的企业年金计划或企业年金计划投资组合、职业年金计划或职业</w:t>
            </w:r>
            <w:r w:rsidRPr="000C5083">
              <w:rPr>
                <w:rFonts w:ascii="仿宋_GB2312" w:eastAsia="仿宋_GB2312" w:hint="eastAsia"/>
                <w:sz w:val="24"/>
                <w:szCs w:val="24"/>
                <w:shd w:val="clear" w:color="auto" w:fill="FFFFFF"/>
              </w:rPr>
              <w:lastRenderedPageBreak/>
              <w:t>年金计划投资组合以及其他符合监管机构要求的合格投资主体。养老金产品投资人在申购成功并取得养老金产品份额后亦称为份额持有人。</w:t>
            </w:r>
          </w:p>
        </w:tc>
      </w:tr>
      <w:tr w:rsidR="000B38EE" w:rsidRPr="00167EAE" w:rsidTr="00557C65">
        <w:trPr>
          <w:trHeight w:val="601"/>
          <w:jc w:val="center"/>
        </w:trPr>
        <w:tc>
          <w:tcPr>
            <w:tcW w:w="1271" w:type="dxa"/>
            <w:tcBorders>
              <w:bottom w:val="single" w:sz="4" w:space="0" w:color="000000"/>
            </w:tcBorders>
            <w:vAlign w:val="center"/>
          </w:tcPr>
          <w:p w:rsidR="000B38EE" w:rsidRDefault="000B38EE" w:rsidP="002F78D0">
            <w:pPr>
              <w:jc w:val="center"/>
              <w:rPr>
                <w:rFonts w:ascii="仿宋_GB2312" w:eastAsia="仿宋_GB2312" w:hAnsi="宋体"/>
                <w:sz w:val="24"/>
                <w:szCs w:val="24"/>
              </w:rPr>
            </w:pPr>
            <w:r>
              <w:rPr>
                <w:rFonts w:ascii="仿宋_GB2312" w:eastAsia="仿宋_GB2312" w:hAnsi="宋体" w:hint="eastAsia"/>
                <w:sz w:val="24"/>
                <w:szCs w:val="24"/>
              </w:rPr>
              <w:lastRenderedPageBreak/>
              <w:t>1.13</w:t>
            </w:r>
          </w:p>
          <w:p w:rsidR="000B38EE" w:rsidRPr="00167EAE" w:rsidRDefault="000B38EE" w:rsidP="002F78D0">
            <w:pPr>
              <w:jc w:val="center"/>
              <w:rPr>
                <w:rFonts w:ascii="仿宋_GB2312" w:eastAsia="仿宋_GB2312" w:hAnsi="宋体"/>
                <w:sz w:val="24"/>
                <w:szCs w:val="24"/>
              </w:rPr>
            </w:pPr>
            <w:r>
              <w:rPr>
                <w:rFonts w:ascii="仿宋_GB2312" w:eastAsia="仿宋_GB2312" w:hAnsi="宋体" w:hint="eastAsia"/>
                <w:sz w:val="24"/>
                <w:szCs w:val="24"/>
              </w:rPr>
              <w:t>（删除）</w:t>
            </w:r>
          </w:p>
        </w:tc>
        <w:tc>
          <w:tcPr>
            <w:tcW w:w="3260" w:type="dxa"/>
            <w:tcBorders>
              <w:bottom w:val="single" w:sz="4" w:space="0" w:color="000000"/>
            </w:tcBorders>
            <w:vAlign w:val="center"/>
          </w:tcPr>
          <w:p w:rsidR="000B38EE" w:rsidRPr="00167EAE" w:rsidRDefault="000B38EE" w:rsidP="002F78D0">
            <w:pPr>
              <w:rPr>
                <w:rFonts w:ascii="仿宋_GB2312" w:eastAsia="仿宋_GB2312" w:hAnsi="宋体"/>
                <w:sz w:val="24"/>
                <w:szCs w:val="24"/>
              </w:rPr>
            </w:pPr>
            <w:r w:rsidRPr="000C5083">
              <w:rPr>
                <w:rFonts w:ascii="仿宋_GB2312" w:eastAsia="仿宋_GB2312" w:hint="eastAsia"/>
                <w:sz w:val="24"/>
                <w:szCs w:val="24"/>
                <w:shd w:val="clear" w:color="auto" w:fill="FFFFFF"/>
              </w:rPr>
              <w:t>企业年金托管账户：年金计划申购养老金产品时指企业年金受托资产托管账户，年金组合申购养老金产品时指企业年金投资资产托管账户。</w:t>
            </w:r>
          </w:p>
        </w:tc>
        <w:tc>
          <w:tcPr>
            <w:tcW w:w="4111" w:type="dxa"/>
            <w:tcBorders>
              <w:bottom w:val="single" w:sz="4" w:space="0" w:color="000000"/>
            </w:tcBorders>
            <w:vAlign w:val="center"/>
          </w:tcPr>
          <w:p w:rsidR="000B38EE" w:rsidRPr="00167EAE" w:rsidRDefault="000B38EE" w:rsidP="002F78D0">
            <w:pPr>
              <w:rPr>
                <w:rFonts w:ascii="仿宋_GB2312" w:eastAsia="仿宋_GB2312"/>
                <w:sz w:val="24"/>
                <w:szCs w:val="24"/>
                <w:shd w:val="clear" w:color="auto" w:fill="FFFFFF"/>
              </w:rPr>
            </w:pPr>
          </w:p>
        </w:tc>
      </w:tr>
      <w:tr w:rsidR="00D7523C" w:rsidRPr="00167EAE" w:rsidTr="00557C65">
        <w:trPr>
          <w:trHeight w:val="601"/>
          <w:jc w:val="center"/>
        </w:trPr>
        <w:tc>
          <w:tcPr>
            <w:tcW w:w="1271" w:type="dxa"/>
            <w:tcBorders>
              <w:bottom w:val="single" w:sz="4" w:space="0" w:color="000000"/>
            </w:tcBorders>
            <w:vAlign w:val="center"/>
          </w:tcPr>
          <w:p w:rsidR="00D7523C" w:rsidRPr="00D7523C" w:rsidRDefault="00D7523C" w:rsidP="002F78D0">
            <w:pPr>
              <w:jc w:val="center"/>
              <w:rPr>
                <w:rFonts w:ascii="仿宋_GB2312" w:eastAsia="仿宋_GB2312" w:hAnsi="宋体"/>
                <w:sz w:val="24"/>
                <w:szCs w:val="24"/>
              </w:rPr>
            </w:pPr>
            <w:r>
              <w:rPr>
                <w:rFonts w:ascii="仿宋_GB2312" w:eastAsia="仿宋_GB2312" w:hAnsi="宋体"/>
                <w:sz w:val="24"/>
                <w:szCs w:val="24"/>
              </w:rPr>
              <w:t>4.3</w:t>
            </w:r>
          </w:p>
        </w:tc>
        <w:tc>
          <w:tcPr>
            <w:tcW w:w="3260" w:type="dxa"/>
            <w:tcBorders>
              <w:bottom w:val="single" w:sz="4" w:space="0" w:color="000000"/>
            </w:tcBorders>
            <w:vAlign w:val="center"/>
          </w:tcPr>
          <w:p w:rsidR="00D7523C" w:rsidRDefault="00D7523C" w:rsidP="002F78D0">
            <w:pPr>
              <w:rPr>
                <w:rFonts w:ascii="仿宋_GB2312" w:eastAsia="仿宋_GB2312"/>
                <w:sz w:val="24"/>
                <w:szCs w:val="24"/>
                <w:shd w:val="clear" w:color="auto" w:fill="FFFFFF"/>
              </w:rPr>
            </w:pPr>
            <w:r>
              <w:rPr>
                <w:rFonts w:ascii="仿宋_GB2312" w:eastAsia="仿宋_GB2312" w:hint="eastAsia"/>
                <w:sz w:val="24"/>
                <w:szCs w:val="24"/>
                <w:shd w:val="clear" w:color="auto" w:fill="FFFFFF"/>
              </w:rPr>
              <w:t>托管人概况</w:t>
            </w:r>
          </w:p>
          <w:p w:rsidR="00D7523C" w:rsidRPr="00444D35" w:rsidRDefault="00D7523C" w:rsidP="002F78D0">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 xml:space="preserve">托 管 人：中信银行股份有限公司                                             </w:t>
            </w:r>
          </w:p>
          <w:p w:rsidR="00D7523C" w:rsidRPr="00444D35" w:rsidRDefault="00D7523C" w:rsidP="002F78D0">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联系地址：北京东城区朝阳门北大街8号富华大厦C座</w:t>
            </w:r>
          </w:p>
          <w:p w:rsidR="00D7523C" w:rsidRPr="00444D35" w:rsidRDefault="00D7523C" w:rsidP="002F78D0">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 xml:space="preserve">邮政编码：100027                                            </w:t>
            </w:r>
          </w:p>
          <w:p w:rsidR="00D7523C" w:rsidRPr="00444D35" w:rsidRDefault="00D7523C" w:rsidP="002F78D0">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 xml:space="preserve">电    话：010-65556827                                                </w:t>
            </w:r>
          </w:p>
          <w:p w:rsidR="00D7523C" w:rsidRPr="00444D35" w:rsidRDefault="00D7523C" w:rsidP="002F78D0">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 xml:space="preserve">传    真：010-65550832                                                </w:t>
            </w:r>
          </w:p>
          <w:p w:rsidR="00D7523C" w:rsidRPr="00444D35" w:rsidRDefault="00D7523C" w:rsidP="002F78D0">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 xml:space="preserve">法定代表人：常振明                                             </w:t>
            </w:r>
          </w:p>
          <w:p w:rsidR="00D7523C" w:rsidRPr="000C5083" w:rsidRDefault="00D7523C" w:rsidP="002F78D0">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 xml:space="preserve">企业年金基金管理机构资格证书编号：0112   </w:t>
            </w:r>
          </w:p>
        </w:tc>
        <w:tc>
          <w:tcPr>
            <w:tcW w:w="4111" w:type="dxa"/>
            <w:tcBorders>
              <w:bottom w:val="single" w:sz="4" w:space="0" w:color="000000"/>
            </w:tcBorders>
            <w:vAlign w:val="center"/>
          </w:tcPr>
          <w:p w:rsidR="00D7523C" w:rsidRDefault="00D7523C" w:rsidP="002F78D0">
            <w:pPr>
              <w:rPr>
                <w:rFonts w:ascii="仿宋_GB2312" w:eastAsia="仿宋_GB2312"/>
                <w:sz w:val="24"/>
                <w:szCs w:val="24"/>
                <w:shd w:val="clear" w:color="auto" w:fill="FFFFFF"/>
              </w:rPr>
            </w:pPr>
            <w:r>
              <w:rPr>
                <w:rFonts w:ascii="仿宋_GB2312" w:eastAsia="仿宋_GB2312" w:hint="eastAsia"/>
                <w:sz w:val="24"/>
                <w:szCs w:val="24"/>
                <w:shd w:val="clear" w:color="auto" w:fill="FFFFFF"/>
              </w:rPr>
              <w:t>托管人</w:t>
            </w:r>
            <w:r>
              <w:rPr>
                <w:rFonts w:ascii="仿宋_GB2312" w:eastAsia="仿宋_GB2312"/>
                <w:sz w:val="24"/>
                <w:szCs w:val="24"/>
                <w:shd w:val="clear" w:color="auto" w:fill="FFFFFF"/>
              </w:rPr>
              <w:t>概况</w:t>
            </w:r>
          </w:p>
          <w:p w:rsidR="00D7523C" w:rsidRPr="00444D35" w:rsidRDefault="00D7523C" w:rsidP="002F78D0">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 xml:space="preserve">托 管 人：中信银行股份有限公司                                             </w:t>
            </w:r>
          </w:p>
          <w:p w:rsidR="00D7523C" w:rsidRPr="00444D35" w:rsidRDefault="00D7523C" w:rsidP="002F78D0">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 xml:space="preserve">联系地址：北京市东城区朝阳门北大街9号 </w:t>
            </w:r>
          </w:p>
          <w:p w:rsidR="00D7523C" w:rsidRPr="00444D35" w:rsidRDefault="00D7523C" w:rsidP="002F78D0">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 xml:space="preserve">邮政编码：100010                                            </w:t>
            </w:r>
          </w:p>
          <w:p w:rsidR="00D7523C" w:rsidRPr="00444D35" w:rsidRDefault="00D7523C" w:rsidP="002F78D0">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 xml:space="preserve">电    话：010-89936310                                                </w:t>
            </w:r>
          </w:p>
          <w:p w:rsidR="00D7523C" w:rsidRPr="00444D35" w:rsidRDefault="00D7523C" w:rsidP="002F78D0">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 xml:space="preserve">传    真：010-85230024                                                </w:t>
            </w:r>
          </w:p>
          <w:p w:rsidR="00D7523C" w:rsidRPr="00444D35" w:rsidRDefault="00D7523C" w:rsidP="002F78D0">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 xml:space="preserve">法定代表人：李庆萍                                             </w:t>
            </w:r>
          </w:p>
          <w:p w:rsidR="00D7523C" w:rsidRPr="00167EAE" w:rsidRDefault="00D7523C" w:rsidP="002F78D0">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 xml:space="preserve">企业年金基金管理机构资格证书编号：0112   </w:t>
            </w:r>
          </w:p>
        </w:tc>
      </w:tr>
      <w:tr w:rsidR="003863AF" w:rsidRPr="00167EAE" w:rsidTr="00557C65">
        <w:trPr>
          <w:trHeight w:val="601"/>
          <w:jc w:val="center"/>
        </w:trPr>
        <w:tc>
          <w:tcPr>
            <w:tcW w:w="1271" w:type="dxa"/>
            <w:tcBorders>
              <w:bottom w:val="single" w:sz="4" w:space="0" w:color="000000"/>
            </w:tcBorders>
            <w:vAlign w:val="center"/>
          </w:tcPr>
          <w:p w:rsidR="003863AF" w:rsidRPr="00167EAE" w:rsidRDefault="003863AF" w:rsidP="002F78D0">
            <w:pPr>
              <w:jc w:val="center"/>
              <w:rPr>
                <w:rFonts w:ascii="仿宋_GB2312" w:eastAsia="仿宋_GB2312" w:hAnsi="宋体"/>
                <w:sz w:val="24"/>
                <w:szCs w:val="24"/>
              </w:rPr>
            </w:pPr>
            <w:r w:rsidRPr="00167EAE">
              <w:rPr>
                <w:rFonts w:ascii="仿宋_GB2312" w:eastAsia="仿宋_GB2312" w:hAnsi="宋体" w:hint="eastAsia"/>
                <w:sz w:val="24"/>
                <w:szCs w:val="24"/>
              </w:rPr>
              <w:t>9.4.5</w:t>
            </w:r>
          </w:p>
          <w:p w:rsidR="003863AF" w:rsidRPr="00167EAE" w:rsidRDefault="003863AF" w:rsidP="002F78D0">
            <w:pPr>
              <w:jc w:val="center"/>
              <w:rPr>
                <w:rFonts w:ascii="仿宋_GB2312" w:eastAsia="仿宋_GB2312" w:hAnsi="宋体"/>
                <w:sz w:val="24"/>
                <w:szCs w:val="24"/>
              </w:rPr>
            </w:pPr>
            <w:r w:rsidRPr="00167EAE">
              <w:rPr>
                <w:rFonts w:ascii="仿宋_GB2312" w:eastAsia="仿宋_GB2312" w:hAnsi="宋体" w:hint="eastAsia"/>
                <w:sz w:val="24"/>
                <w:szCs w:val="24"/>
              </w:rPr>
              <w:t>（新增）</w:t>
            </w:r>
          </w:p>
        </w:tc>
        <w:tc>
          <w:tcPr>
            <w:tcW w:w="3260" w:type="dxa"/>
            <w:tcBorders>
              <w:bottom w:val="single" w:sz="4" w:space="0" w:color="000000"/>
            </w:tcBorders>
            <w:vAlign w:val="center"/>
          </w:tcPr>
          <w:p w:rsidR="003863AF" w:rsidRPr="00167EAE" w:rsidRDefault="003863AF" w:rsidP="002F78D0">
            <w:pPr>
              <w:rPr>
                <w:rFonts w:ascii="仿宋_GB2312" w:eastAsia="仿宋_GB2312" w:hAnsi="宋体"/>
                <w:sz w:val="24"/>
                <w:szCs w:val="24"/>
              </w:rPr>
            </w:pPr>
          </w:p>
        </w:tc>
        <w:tc>
          <w:tcPr>
            <w:tcW w:w="4111" w:type="dxa"/>
            <w:tcBorders>
              <w:bottom w:val="single" w:sz="4" w:space="0" w:color="000000"/>
            </w:tcBorders>
            <w:vAlign w:val="center"/>
          </w:tcPr>
          <w:p w:rsidR="003863AF" w:rsidRPr="00167EAE" w:rsidRDefault="003863AF" w:rsidP="002F78D0">
            <w:pPr>
              <w:rPr>
                <w:rFonts w:ascii="仿宋_GB2312" w:eastAsia="仿宋_GB2312" w:hAnsi="宋体"/>
                <w:sz w:val="24"/>
                <w:szCs w:val="24"/>
              </w:rPr>
            </w:pPr>
            <w:r w:rsidRPr="00167EAE">
              <w:rPr>
                <w:rFonts w:ascii="仿宋_GB2312" w:eastAsia="仿宋_GB2312" w:hAnsi="宋体" w:hint="eastAsia"/>
                <w:sz w:val="24"/>
                <w:szCs w:val="24"/>
              </w:rPr>
              <w:t>投资管理人可以在本合同约定的投资范围内，运用本养老金产品资产投资于本产品投资人、投资管理人、托管人及其关联</w:t>
            </w:r>
            <w:proofErr w:type="gramStart"/>
            <w:r w:rsidRPr="00167EAE">
              <w:rPr>
                <w:rFonts w:ascii="仿宋_GB2312" w:eastAsia="仿宋_GB2312" w:hAnsi="宋体" w:hint="eastAsia"/>
                <w:sz w:val="24"/>
                <w:szCs w:val="24"/>
              </w:rPr>
              <w:t>方发行</w:t>
            </w:r>
            <w:proofErr w:type="gramEnd"/>
            <w:r w:rsidRPr="00167EAE">
              <w:rPr>
                <w:rFonts w:ascii="仿宋_GB2312" w:eastAsia="仿宋_GB2312" w:hAnsi="宋体" w:hint="eastAsia"/>
                <w:sz w:val="24"/>
                <w:szCs w:val="24"/>
              </w:rPr>
              <w:t>或承销的证券或金融产品或进行其他关联交易，无需投资人的个别授权，但法律另有规定或本合同另有约定的除外。以上投资行为应按照市场通行的方式和条件参与，公平对待养老金产品财产，投资管理人不得通过关联交易或者其他方式侵害投资人的利益。</w:t>
            </w:r>
          </w:p>
        </w:tc>
      </w:tr>
      <w:tr w:rsidR="003863AF" w:rsidRPr="00167EAE" w:rsidTr="00557C65">
        <w:trPr>
          <w:trHeight w:val="601"/>
          <w:jc w:val="center"/>
        </w:trPr>
        <w:tc>
          <w:tcPr>
            <w:tcW w:w="1271" w:type="dxa"/>
            <w:tcBorders>
              <w:bottom w:val="single" w:sz="4" w:space="0" w:color="000000"/>
            </w:tcBorders>
            <w:vAlign w:val="center"/>
          </w:tcPr>
          <w:p w:rsidR="003863AF" w:rsidRPr="00167EAE" w:rsidRDefault="003863AF" w:rsidP="002F78D0">
            <w:pPr>
              <w:jc w:val="center"/>
              <w:rPr>
                <w:rFonts w:ascii="仿宋_GB2312" w:eastAsia="仿宋_GB2312" w:hAnsi="宋体"/>
                <w:sz w:val="24"/>
                <w:szCs w:val="24"/>
              </w:rPr>
            </w:pPr>
            <w:r w:rsidRPr="00167EAE">
              <w:rPr>
                <w:rFonts w:ascii="仿宋_GB2312" w:eastAsia="仿宋_GB2312" w:hAnsi="宋体" w:hint="eastAsia"/>
                <w:sz w:val="24"/>
                <w:szCs w:val="24"/>
              </w:rPr>
              <w:t>15.4</w:t>
            </w:r>
          </w:p>
        </w:tc>
        <w:tc>
          <w:tcPr>
            <w:tcW w:w="3260" w:type="dxa"/>
            <w:tcBorders>
              <w:bottom w:val="single" w:sz="4" w:space="0" w:color="000000"/>
            </w:tcBorders>
            <w:vAlign w:val="center"/>
          </w:tcPr>
          <w:p w:rsidR="003863AF" w:rsidRPr="00167EAE" w:rsidRDefault="00B16AE2" w:rsidP="002F78D0">
            <w:pPr>
              <w:rPr>
                <w:rFonts w:ascii="仿宋_GB2312" w:eastAsia="仿宋_GB2312" w:hAnsi="宋体"/>
                <w:sz w:val="24"/>
                <w:szCs w:val="24"/>
              </w:rPr>
            </w:pPr>
            <w:r w:rsidRPr="00167EAE">
              <w:rPr>
                <w:rFonts w:ascii="仿宋_GB2312" w:eastAsia="仿宋_GB2312" w:hAnsi="宋体" w:hint="eastAsia"/>
                <w:sz w:val="24"/>
                <w:szCs w:val="24"/>
              </w:rPr>
              <w:t>投资管理人应当按照有关规定，在公司官</w:t>
            </w:r>
            <w:r w:rsidRPr="00167EAE">
              <w:rPr>
                <w:rFonts w:ascii="仿宋_GB2312" w:eastAsia="仿宋_GB2312" w:hAnsi="宋体" w:hint="eastAsia"/>
                <w:sz w:val="24"/>
                <w:szCs w:val="24"/>
              </w:rPr>
              <w:lastRenderedPageBreak/>
              <w:t>方网站上向份额持有人提供养老金产品季度报告，其中的财务数据须经托管人复核；如发生特殊情况，还应当在公司官方网站上提供临时报告或者进行重大信息披露。季度报告应在每个季度结束之日起15日内编制完毕。上述定期报告提交时限如遇法定节假日可适当顺延。</w:t>
            </w:r>
          </w:p>
        </w:tc>
        <w:tc>
          <w:tcPr>
            <w:tcW w:w="4111" w:type="dxa"/>
            <w:tcBorders>
              <w:bottom w:val="single" w:sz="4" w:space="0" w:color="000000"/>
            </w:tcBorders>
            <w:vAlign w:val="center"/>
          </w:tcPr>
          <w:p w:rsidR="003863AF" w:rsidRPr="00167EAE" w:rsidRDefault="00B16AE2" w:rsidP="002F78D0">
            <w:pPr>
              <w:rPr>
                <w:rFonts w:ascii="仿宋_GB2312" w:eastAsia="仿宋_GB2312" w:hAnsi="宋体"/>
                <w:sz w:val="24"/>
                <w:szCs w:val="24"/>
              </w:rPr>
            </w:pPr>
            <w:r w:rsidRPr="00167EAE">
              <w:rPr>
                <w:rFonts w:ascii="仿宋_GB2312" w:eastAsia="仿宋_GB2312" w:hAnsi="宋体" w:hint="eastAsia"/>
                <w:sz w:val="24"/>
                <w:szCs w:val="24"/>
              </w:rPr>
              <w:lastRenderedPageBreak/>
              <w:t>投资管理人应当按照有关规定，在公司官方网站上向</w:t>
            </w:r>
            <w:r w:rsidRPr="00167EAE">
              <w:rPr>
                <w:rFonts w:ascii="仿宋_GB2312" w:eastAsia="仿宋_GB2312" w:hAnsi="宋体" w:hint="eastAsia"/>
                <w:sz w:val="24"/>
                <w:szCs w:val="24"/>
              </w:rPr>
              <w:lastRenderedPageBreak/>
              <w:t>份额持有人提供养老金产品季度报告和年度报告，其中的财务数据须经托管人复核；如发生特殊情况，还应当在公司官方网站上提供临时报告或者进行重大信息披露。季度报告应在每个季度结束之日起15日内编制完毕；年度报告应于年度结束后15个工作日内依据监管机构要求完成编制及披露。上述定期报告提交时限如遇法定节假日可适当顺延。</w:t>
            </w:r>
          </w:p>
        </w:tc>
      </w:tr>
      <w:tr w:rsidR="00FB46F3" w:rsidRPr="00167EAE" w:rsidTr="00557C65">
        <w:trPr>
          <w:trHeight w:val="601"/>
          <w:jc w:val="center"/>
        </w:trPr>
        <w:tc>
          <w:tcPr>
            <w:tcW w:w="1271" w:type="dxa"/>
            <w:tcBorders>
              <w:bottom w:val="single" w:sz="4" w:space="0" w:color="000000"/>
            </w:tcBorders>
            <w:vAlign w:val="center"/>
          </w:tcPr>
          <w:p w:rsidR="00FB46F3" w:rsidRPr="00167EAE" w:rsidRDefault="00FB46F3" w:rsidP="002F78D0">
            <w:pPr>
              <w:jc w:val="center"/>
              <w:rPr>
                <w:rFonts w:ascii="仿宋_GB2312" w:eastAsia="仿宋_GB2312" w:hAnsi="宋体"/>
                <w:sz w:val="24"/>
                <w:szCs w:val="24"/>
              </w:rPr>
            </w:pPr>
            <w:r>
              <w:rPr>
                <w:rFonts w:ascii="仿宋_GB2312" w:eastAsia="仿宋_GB2312" w:hAnsi="宋体" w:hint="eastAsia"/>
                <w:sz w:val="24"/>
                <w:szCs w:val="24"/>
              </w:rPr>
              <w:lastRenderedPageBreak/>
              <w:t>17.3</w:t>
            </w:r>
          </w:p>
        </w:tc>
        <w:tc>
          <w:tcPr>
            <w:tcW w:w="3260" w:type="dxa"/>
            <w:tcBorders>
              <w:bottom w:val="single" w:sz="4" w:space="0" w:color="000000"/>
            </w:tcBorders>
            <w:vAlign w:val="center"/>
          </w:tcPr>
          <w:p w:rsidR="00FB46F3" w:rsidRPr="00FB46F3" w:rsidRDefault="00FB46F3" w:rsidP="002F78D0">
            <w:pPr>
              <w:rPr>
                <w:rFonts w:ascii="仿宋_GB2312" w:eastAsia="仿宋_GB2312" w:hAnsi="宋体"/>
                <w:sz w:val="24"/>
                <w:szCs w:val="24"/>
              </w:rPr>
            </w:pPr>
            <w:r>
              <w:rPr>
                <w:rFonts w:ascii="仿宋_GB2312" w:eastAsia="仿宋_GB2312" w:hAnsi="宋体" w:hint="eastAsia"/>
                <w:sz w:val="24"/>
                <w:szCs w:val="24"/>
              </w:rPr>
              <w:t>本合同及养老金产品的变更</w:t>
            </w:r>
          </w:p>
          <w:p w:rsidR="00FB46F3" w:rsidRPr="00FB46F3" w:rsidRDefault="00FB46F3" w:rsidP="002F78D0">
            <w:pPr>
              <w:rPr>
                <w:rFonts w:ascii="仿宋_GB2312" w:eastAsia="仿宋_GB2312" w:hAnsi="宋体"/>
                <w:sz w:val="24"/>
                <w:szCs w:val="24"/>
              </w:rPr>
            </w:pPr>
            <w:r w:rsidRPr="00FB46F3">
              <w:rPr>
                <w:rFonts w:ascii="仿宋_GB2312" w:eastAsia="仿宋_GB2312" w:hAnsi="宋体" w:hint="eastAsia"/>
                <w:sz w:val="24"/>
                <w:szCs w:val="24"/>
              </w:rPr>
              <w:t>本合同生效后，如需变更，须经投资管理人与托管人协商一致并达成书面协议。</w:t>
            </w:r>
          </w:p>
        </w:tc>
        <w:tc>
          <w:tcPr>
            <w:tcW w:w="4111" w:type="dxa"/>
            <w:tcBorders>
              <w:bottom w:val="single" w:sz="4" w:space="0" w:color="000000"/>
            </w:tcBorders>
            <w:vAlign w:val="center"/>
          </w:tcPr>
          <w:p w:rsidR="00FB46F3" w:rsidRPr="00FB46F3" w:rsidRDefault="00FB46F3" w:rsidP="002F78D0">
            <w:pPr>
              <w:rPr>
                <w:rFonts w:ascii="仿宋_GB2312" w:eastAsia="仿宋_GB2312" w:hAnsi="宋体"/>
                <w:sz w:val="24"/>
                <w:szCs w:val="24"/>
              </w:rPr>
            </w:pPr>
            <w:r>
              <w:rPr>
                <w:rFonts w:ascii="仿宋_GB2312" w:eastAsia="仿宋_GB2312" w:hAnsi="宋体" w:hint="eastAsia"/>
                <w:sz w:val="24"/>
                <w:szCs w:val="24"/>
              </w:rPr>
              <w:t>本合同及养老金产品的变更</w:t>
            </w:r>
          </w:p>
          <w:p w:rsidR="00FB46F3" w:rsidRPr="00167EAE" w:rsidRDefault="00FB46F3" w:rsidP="002F78D0">
            <w:pPr>
              <w:rPr>
                <w:rFonts w:ascii="仿宋_GB2312" w:eastAsia="仿宋_GB2312" w:hAnsi="宋体"/>
                <w:sz w:val="24"/>
                <w:szCs w:val="24"/>
              </w:rPr>
            </w:pPr>
            <w:r w:rsidRPr="00FB46F3">
              <w:rPr>
                <w:rFonts w:ascii="仿宋_GB2312" w:eastAsia="仿宋_GB2312" w:hAnsi="宋体" w:hint="eastAsia"/>
                <w:sz w:val="24"/>
                <w:szCs w:val="24"/>
              </w:rPr>
              <w:t>本合同生效后，如需变更，须经投资管理人与托管人协商一致。</w:t>
            </w:r>
          </w:p>
        </w:tc>
      </w:tr>
      <w:tr w:rsidR="003863AF" w:rsidRPr="00167EAE" w:rsidTr="00557C65">
        <w:trPr>
          <w:trHeight w:val="601"/>
          <w:jc w:val="center"/>
        </w:trPr>
        <w:tc>
          <w:tcPr>
            <w:tcW w:w="8642" w:type="dxa"/>
            <w:gridSpan w:val="3"/>
            <w:tcBorders>
              <w:bottom w:val="single" w:sz="4" w:space="0" w:color="000000"/>
            </w:tcBorders>
            <w:vAlign w:val="center"/>
          </w:tcPr>
          <w:p w:rsidR="003863AF" w:rsidRPr="00167EAE" w:rsidRDefault="003863AF" w:rsidP="002F78D0">
            <w:pPr>
              <w:jc w:val="left"/>
              <w:rPr>
                <w:rFonts w:ascii="仿宋_GB2312" w:eastAsia="仿宋_GB2312"/>
                <w:b/>
                <w:sz w:val="24"/>
                <w:szCs w:val="24"/>
              </w:rPr>
            </w:pPr>
            <w:r w:rsidRPr="00167EAE">
              <w:rPr>
                <w:rFonts w:ascii="仿宋_GB2312" w:eastAsia="仿宋_GB2312" w:hint="eastAsia"/>
                <w:b/>
                <w:sz w:val="24"/>
                <w:szCs w:val="24"/>
              </w:rPr>
              <w:t>投资说明书变更内容</w:t>
            </w:r>
          </w:p>
        </w:tc>
      </w:tr>
      <w:tr w:rsidR="003863AF" w:rsidRPr="00167EAE" w:rsidTr="00557C65">
        <w:trPr>
          <w:trHeight w:val="601"/>
          <w:jc w:val="center"/>
        </w:trPr>
        <w:tc>
          <w:tcPr>
            <w:tcW w:w="1271" w:type="dxa"/>
            <w:tcBorders>
              <w:bottom w:val="single" w:sz="4" w:space="0" w:color="000000"/>
            </w:tcBorders>
            <w:vAlign w:val="center"/>
          </w:tcPr>
          <w:p w:rsidR="003863AF" w:rsidRPr="00167EAE" w:rsidRDefault="003863AF" w:rsidP="002F78D0">
            <w:pPr>
              <w:jc w:val="center"/>
              <w:rPr>
                <w:rFonts w:ascii="仿宋_GB2312" w:eastAsia="仿宋_GB2312" w:hAnsi="宋体"/>
                <w:sz w:val="24"/>
                <w:szCs w:val="24"/>
              </w:rPr>
            </w:pPr>
            <w:r w:rsidRPr="00167EAE">
              <w:rPr>
                <w:rFonts w:ascii="仿宋_GB2312" w:eastAsia="仿宋_GB2312" w:hAnsi="宋体" w:hint="eastAsia"/>
                <w:sz w:val="24"/>
                <w:szCs w:val="24"/>
              </w:rPr>
              <w:t>章节</w:t>
            </w:r>
          </w:p>
        </w:tc>
        <w:tc>
          <w:tcPr>
            <w:tcW w:w="3260" w:type="dxa"/>
            <w:tcBorders>
              <w:bottom w:val="single" w:sz="4" w:space="0" w:color="000000"/>
            </w:tcBorders>
            <w:vAlign w:val="center"/>
          </w:tcPr>
          <w:p w:rsidR="003863AF" w:rsidRPr="00167EAE" w:rsidRDefault="003863AF" w:rsidP="002F78D0">
            <w:pPr>
              <w:jc w:val="center"/>
              <w:rPr>
                <w:rFonts w:ascii="仿宋_GB2312" w:eastAsia="仿宋_GB2312" w:hAnsi="宋体"/>
                <w:sz w:val="24"/>
                <w:szCs w:val="24"/>
              </w:rPr>
            </w:pPr>
            <w:r w:rsidRPr="00167EAE">
              <w:rPr>
                <w:rFonts w:ascii="仿宋_GB2312" w:eastAsia="仿宋_GB2312" w:hAnsi="宋体" w:hint="eastAsia"/>
                <w:sz w:val="24"/>
                <w:szCs w:val="24"/>
              </w:rPr>
              <w:t>原投资说明书内容</w:t>
            </w:r>
          </w:p>
        </w:tc>
        <w:tc>
          <w:tcPr>
            <w:tcW w:w="4111" w:type="dxa"/>
            <w:tcBorders>
              <w:bottom w:val="single" w:sz="4" w:space="0" w:color="000000"/>
            </w:tcBorders>
            <w:vAlign w:val="center"/>
          </w:tcPr>
          <w:p w:rsidR="003863AF" w:rsidRPr="00167EAE" w:rsidRDefault="003863AF" w:rsidP="002F78D0">
            <w:pPr>
              <w:jc w:val="center"/>
              <w:rPr>
                <w:rFonts w:ascii="仿宋_GB2312" w:eastAsia="仿宋_GB2312" w:hAnsi="宋体"/>
                <w:sz w:val="24"/>
                <w:szCs w:val="24"/>
              </w:rPr>
            </w:pPr>
            <w:r w:rsidRPr="00167EAE">
              <w:rPr>
                <w:rFonts w:ascii="仿宋_GB2312" w:eastAsia="仿宋_GB2312" w:hAnsi="宋体" w:hint="eastAsia"/>
                <w:sz w:val="24"/>
                <w:szCs w:val="24"/>
              </w:rPr>
              <w:t>变更后对应内容</w:t>
            </w:r>
          </w:p>
        </w:tc>
      </w:tr>
      <w:tr w:rsidR="003863AF" w:rsidRPr="00167EAE" w:rsidTr="00557C65">
        <w:trPr>
          <w:jc w:val="center"/>
        </w:trPr>
        <w:tc>
          <w:tcPr>
            <w:tcW w:w="1271" w:type="dxa"/>
            <w:vAlign w:val="center"/>
          </w:tcPr>
          <w:p w:rsidR="003863AF" w:rsidRPr="00167EAE" w:rsidRDefault="003863AF" w:rsidP="002F78D0">
            <w:pPr>
              <w:jc w:val="center"/>
              <w:rPr>
                <w:rFonts w:ascii="仿宋_GB2312" w:eastAsia="仿宋_GB2312" w:hAnsi="宋体"/>
                <w:sz w:val="24"/>
                <w:szCs w:val="24"/>
              </w:rPr>
            </w:pPr>
            <w:r w:rsidRPr="00167EAE">
              <w:rPr>
                <w:rFonts w:ascii="仿宋_GB2312" w:eastAsia="仿宋_GB2312" w:hAnsi="宋体" w:hint="eastAsia"/>
                <w:sz w:val="24"/>
                <w:szCs w:val="24"/>
              </w:rPr>
              <w:t>重要提示</w:t>
            </w:r>
          </w:p>
        </w:tc>
        <w:tc>
          <w:tcPr>
            <w:tcW w:w="3260" w:type="dxa"/>
            <w:vAlign w:val="center"/>
          </w:tcPr>
          <w:p w:rsidR="003863AF" w:rsidRPr="00167EAE" w:rsidRDefault="003863AF" w:rsidP="002F78D0">
            <w:pPr>
              <w:rPr>
                <w:rFonts w:ascii="仿宋_GB2312" w:eastAsia="仿宋_GB2312"/>
                <w:sz w:val="24"/>
                <w:szCs w:val="24"/>
                <w:shd w:val="clear" w:color="auto" w:fill="FFFFFF"/>
              </w:rPr>
            </w:pPr>
            <w:r w:rsidRPr="00167EAE">
              <w:rPr>
                <w:rFonts w:ascii="仿宋_GB2312" w:eastAsia="仿宋_GB2312" w:hint="eastAsia"/>
                <w:sz w:val="24"/>
                <w:szCs w:val="24"/>
                <w:shd w:val="clear" w:color="auto" w:fill="FFFFFF"/>
              </w:rPr>
              <w:t>《企业年金试行办法》（劳动和社会保障部令第20号）</w:t>
            </w:r>
          </w:p>
        </w:tc>
        <w:tc>
          <w:tcPr>
            <w:tcW w:w="4111" w:type="dxa"/>
            <w:vAlign w:val="center"/>
          </w:tcPr>
          <w:p w:rsidR="003863AF" w:rsidRPr="00167EAE" w:rsidRDefault="003863AF" w:rsidP="002F78D0">
            <w:pPr>
              <w:rPr>
                <w:rFonts w:ascii="仿宋_GB2312" w:eastAsia="仿宋_GB2312"/>
                <w:sz w:val="24"/>
                <w:szCs w:val="24"/>
                <w:shd w:val="clear" w:color="auto" w:fill="FFFFFF"/>
              </w:rPr>
            </w:pPr>
            <w:r w:rsidRPr="00167EAE">
              <w:rPr>
                <w:rFonts w:ascii="仿宋_GB2312" w:eastAsia="仿宋_GB2312" w:hint="eastAsia"/>
                <w:sz w:val="24"/>
                <w:szCs w:val="24"/>
                <w:shd w:val="clear" w:color="auto" w:fill="FFFFFF"/>
              </w:rPr>
              <w:t>《企业年金办法》（人力资源和社会保障部、财政部令第36号）</w:t>
            </w:r>
          </w:p>
        </w:tc>
      </w:tr>
      <w:tr w:rsidR="000B38EE" w:rsidRPr="00167EAE" w:rsidTr="00557C65">
        <w:trPr>
          <w:jc w:val="center"/>
        </w:trPr>
        <w:tc>
          <w:tcPr>
            <w:tcW w:w="1271" w:type="dxa"/>
            <w:vAlign w:val="center"/>
          </w:tcPr>
          <w:p w:rsidR="000B38EE" w:rsidRPr="00167EAE" w:rsidRDefault="000B38EE" w:rsidP="002F78D0">
            <w:pPr>
              <w:jc w:val="center"/>
              <w:rPr>
                <w:rFonts w:ascii="仿宋_GB2312" w:eastAsia="仿宋_GB2312" w:hAnsi="宋体"/>
                <w:sz w:val="24"/>
                <w:szCs w:val="24"/>
              </w:rPr>
            </w:pPr>
            <w:r w:rsidRPr="005410E1">
              <w:rPr>
                <w:rFonts w:ascii="仿宋_GB2312" w:eastAsia="仿宋_GB2312" w:hAnsi="宋体" w:hint="eastAsia"/>
                <w:sz w:val="24"/>
                <w:szCs w:val="24"/>
              </w:rPr>
              <w:t>重要提示</w:t>
            </w:r>
          </w:p>
        </w:tc>
        <w:tc>
          <w:tcPr>
            <w:tcW w:w="3260" w:type="dxa"/>
            <w:vAlign w:val="center"/>
          </w:tcPr>
          <w:p w:rsidR="000B38EE" w:rsidRPr="00167EAE" w:rsidRDefault="000B38EE" w:rsidP="002F78D0">
            <w:pPr>
              <w:rPr>
                <w:rFonts w:ascii="仿宋_GB2312" w:eastAsia="仿宋_GB2312"/>
                <w:sz w:val="24"/>
                <w:szCs w:val="24"/>
                <w:shd w:val="clear" w:color="auto" w:fill="FFFFFF"/>
              </w:rPr>
            </w:pPr>
            <w:r w:rsidRPr="000C5083">
              <w:rPr>
                <w:rFonts w:ascii="仿宋_GB2312" w:eastAsia="仿宋_GB2312" w:hint="eastAsia"/>
                <w:sz w:val="24"/>
                <w:szCs w:val="24"/>
                <w:shd w:val="clear" w:color="auto" w:fill="FFFFFF"/>
              </w:rPr>
              <w:t>本养老金产品投资于证券市场，产品财产净值会因为证券市场波动等因素产生波动，各份额持有人（企业年金计划或组合）根据所持有的产品份额享受收益，同时承担相应的投资风险。本养老金产品投资中的风险包括：因整体政治、经济、社会等环境因素对证券市场价格产生影响而形成的系统性风险，个别证券特有的非系统性风险，由于企业年金资金大量退出产生的流动性风险，投资管理人在投资管理实施过程中产生的积极管理风险，特定投资方法及养老金产品所投资的特定投资对象可能引起的特定风险等。各企业年金计划或</w:t>
            </w:r>
            <w:r w:rsidRPr="000C5083">
              <w:rPr>
                <w:rFonts w:ascii="仿宋_GB2312" w:eastAsia="仿宋_GB2312" w:hint="eastAsia"/>
                <w:sz w:val="24"/>
                <w:szCs w:val="24"/>
                <w:shd w:val="clear" w:color="auto" w:fill="FFFFFF"/>
              </w:rPr>
              <w:lastRenderedPageBreak/>
              <w:t>组合在投资本养老金产品之前，请仔细阅读投资管理合同、投资说明书和托管合同，全面认识本养老金产品的风险收益特征和产品特性，并充分考虑自身的风险承受能力，理性判断市场，谨慎做出投资决策。</w:t>
            </w:r>
          </w:p>
        </w:tc>
        <w:tc>
          <w:tcPr>
            <w:tcW w:w="4111" w:type="dxa"/>
            <w:vAlign w:val="center"/>
          </w:tcPr>
          <w:p w:rsidR="000B38EE" w:rsidRPr="00167EAE" w:rsidRDefault="000B38EE" w:rsidP="002F78D0">
            <w:pPr>
              <w:rPr>
                <w:rFonts w:ascii="仿宋_GB2312" w:eastAsia="仿宋_GB2312"/>
                <w:sz w:val="24"/>
                <w:szCs w:val="24"/>
                <w:shd w:val="clear" w:color="auto" w:fill="FFFFFF"/>
              </w:rPr>
            </w:pPr>
            <w:r w:rsidRPr="000C5083">
              <w:rPr>
                <w:rFonts w:ascii="仿宋_GB2312" w:eastAsia="仿宋_GB2312" w:hint="eastAsia"/>
                <w:sz w:val="24"/>
                <w:szCs w:val="24"/>
                <w:shd w:val="clear" w:color="auto" w:fill="FFFFFF"/>
              </w:rPr>
              <w:lastRenderedPageBreak/>
              <w:t>本养老金产品投资于证券市场，产品财产净值会因为证券市场波动等因素产生波动，各份额持有人（企业年金计划或组合、职业年金计划或组合）根据所持有的产品份额享受收益，同时承担相应的投资风险。本养老金产品投资中的风险包括：因整体政治、经济、社会等环境因素对证券市场价格产生影响而形成的系统性风险，个别证券特有的非系统性风险，由于企业年金资金或职业年金资金大量退出产生的流动性风险，投资管理人在投资管理实施过程中产生的积极管理风险，特定投资方法及养老金产品所投资的特定投资对象可能引起的特定风险等。各企业年金计划或组合、职业年金计划或组合在投资本养老金产品之前，请仔细阅读投资管理合同、投资说明书和托管合</w:t>
            </w:r>
            <w:r w:rsidRPr="000C5083">
              <w:rPr>
                <w:rFonts w:ascii="仿宋_GB2312" w:eastAsia="仿宋_GB2312" w:hint="eastAsia"/>
                <w:sz w:val="24"/>
                <w:szCs w:val="24"/>
                <w:shd w:val="clear" w:color="auto" w:fill="FFFFFF"/>
              </w:rPr>
              <w:lastRenderedPageBreak/>
              <w:t>同，全面认识本养老金产品的风险收益特征和产品特性，并充分考虑自身的风险承受能力，理性判断市场，谨慎做出投资决策。</w:t>
            </w:r>
          </w:p>
        </w:tc>
      </w:tr>
      <w:tr w:rsidR="000B38EE" w:rsidRPr="00167EAE" w:rsidTr="00557C65">
        <w:trPr>
          <w:jc w:val="center"/>
        </w:trPr>
        <w:tc>
          <w:tcPr>
            <w:tcW w:w="1271" w:type="dxa"/>
            <w:vAlign w:val="center"/>
          </w:tcPr>
          <w:p w:rsidR="000B38EE" w:rsidRPr="00167EAE" w:rsidRDefault="000B38EE" w:rsidP="002F78D0">
            <w:pPr>
              <w:jc w:val="center"/>
              <w:rPr>
                <w:rFonts w:ascii="仿宋_GB2312" w:eastAsia="仿宋_GB2312" w:hAnsi="宋体"/>
                <w:sz w:val="24"/>
                <w:szCs w:val="24"/>
              </w:rPr>
            </w:pPr>
            <w:r>
              <w:rPr>
                <w:rFonts w:ascii="仿宋_GB2312" w:eastAsia="仿宋_GB2312" w:hAnsi="宋体" w:hint="eastAsia"/>
                <w:sz w:val="24"/>
                <w:szCs w:val="24"/>
              </w:rPr>
              <w:lastRenderedPageBreak/>
              <w:t>1.1</w:t>
            </w:r>
          </w:p>
        </w:tc>
        <w:tc>
          <w:tcPr>
            <w:tcW w:w="3260" w:type="dxa"/>
            <w:vAlign w:val="center"/>
          </w:tcPr>
          <w:p w:rsidR="000B38EE" w:rsidRPr="00167EAE" w:rsidRDefault="000B38EE" w:rsidP="002F78D0">
            <w:pPr>
              <w:rPr>
                <w:rFonts w:ascii="仿宋_GB2312" w:eastAsia="仿宋_GB2312"/>
                <w:sz w:val="24"/>
                <w:szCs w:val="24"/>
                <w:shd w:val="clear" w:color="auto" w:fill="FFFFFF"/>
              </w:rPr>
            </w:pPr>
            <w:r w:rsidRPr="000C5083">
              <w:rPr>
                <w:rFonts w:ascii="仿宋_GB2312" w:eastAsia="仿宋_GB2312" w:hint="eastAsia"/>
                <w:sz w:val="24"/>
                <w:szCs w:val="24"/>
                <w:shd w:val="clear" w:color="auto" w:fill="FFFFFF"/>
              </w:rPr>
              <w:t>养老金产品：指由企业年金基金投资管理人发行的、面向企业年金基金定向销售的企业年金基金标准投资组合。</w:t>
            </w:r>
          </w:p>
        </w:tc>
        <w:tc>
          <w:tcPr>
            <w:tcW w:w="4111" w:type="dxa"/>
            <w:vAlign w:val="center"/>
          </w:tcPr>
          <w:p w:rsidR="000B38EE" w:rsidRPr="00167EAE" w:rsidRDefault="000B38EE" w:rsidP="002F78D0">
            <w:pPr>
              <w:rPr>
                <w:rFonts w:ascii="仿宋_GB2312" w:eastAsia="仿宋_GB2312"/>
                <w:sz w:val="24"/>
                <w:szCs w:val="24"/>
                <w:shd w:val="clear" w:color="auto" w:fill="FFFFFF"/>
              </w:rPr>
            </w:pPr>
            <w:r w:rsidRPr="000C5083">
              <w:rPr>
                <w:rFonts w:ascii="仿宋_GB2312" w:eastAsia="仿宋_GB2312" w:hint="eastAsia"/>
                <w:sz w:val="24"/>
                <w:szCs w:val="24"/>
                <w:shd w:val="clear" w:color="auto" w:fill="FFFFFF"/>
              </w:rPr>
              <w:t>养老金产品：指由企业年金基金投资管理人发行的、面向企业年金基金定向销售的企业年金基金标准投资组合。投资管理人可以面向企业年金基金、职业年金基金，以及其他经人力资源社会保障部认可的合格投资者定向销售养老金产品。</w:t>
            </w:r>
          </w:p>
        </w:tc>
      </w:tr>
      <w:tr w:rsidR="000B38EE" w:rsidRPr="00167EAE" w:rsidTr="00557C65">
        <w:trPr>
          <w:jc w:val="center"/>
        </w:trPr>
        <w:tc>
          <w:tcPr>
            <w:tcW w:w="1271" w:type="dxa"/>
            <w:vAlign w:val="center"/>
          </w:tcPr>
          <w:p w:rsidR="000B38EE" w:rsidRDefault="000B38EE" w:rsidP="002F78D0">
            <w:pPr>
              <w:jc w:val="center"/>
              <w:rPr>
                <w:rFonts w:ascii="仿宋_GB2312" w:eastAsia="仿宋_GB2312" w:hAnsi="宋体"/>
                <w:sz w:val="24"/>
                <w:szCs w:val="24"/>
              </w:rPr>
            </w:pPr>
            <w:r>
              <w:rPr>
                <w:rFonts w:ascii="仿宋_GB2312" w:eastAsia="仿宋_GB2312" w:hAnsi="宋体" w:hint="eastAsia"/>
                <w:sz w:val="24"/>
                <w:szCs w:val="24"/>
              </w:rPr>
              <w:t>1.5</w:t>
            </w:r>
            <w:r>
              <w:rPr>
                <w:rFonts w:ascii="仿宋_GB2312" w:eastAsia="仿宋_GB2312" w:hAnsi="宋体"/>
                <w:sz w:val="24"/>
                <w:szCs w:val="24"/>
              </w:rPr>
              <w:t>-1.7</w:t>
            </w:r>
          </w:p>
          <w:p w:rsidR="000B38EE" w:rsidRPr="00167EAE" w:rsidRDefault="000B38EE" w:rsidP="002F78D0">
            <w:pPr>
              <w:jc w:val="center"/>
              <w:rPr>
                <w:rFonts w:ascii="仿宋_GB2312" w:eastAsia="仿宋_GB2312" w:hAnsi="宋体"/>
                <w:sz w:val="24"/>
                <w:szCs w:val="24"/>
              </w:rPr>
            </w:pPr>
            <w:r>
              <w:rPr>
                <w:rFonts w:ascii="仿宋_GB2312" w:eastAsia="仿宋_GB2312" w:hAnsi="宋体" w:hint="eastAsia"/>
                <w:sz w:val="24"/>
                <w:szCs w:val="24"/>
              </w:rPr>
              <w:t>（新增）</w:t>
            </w:r>
          </w:p>
        </w:tc>
        <w:tc>
          <w:tcPr>
            <w:tcW w:w="3260" w:type="dxa"/>
            <w:vAlign w:val="center"/>
          </w:tcPr>
          <w:p w:rsidR="000B38EE" w:rsidRPr="00167EAE" w:rsidRDefault="000B38EE" w:rsidP="002F78D0">
            <w:pPr>
              <w:rPr>
                <w:rFonts w:ascii="仿宋_GB2312" w:eastAsia="仿宋_GB2312"/>
                <w:sz w:val="24"/>
                <w:szCs w:val="24"/>
                <w:shd w:val="clear" w:color="auto" w:fill="FFFFFF"/>
              </w:rPr>
            </w:pPr>
          </w:p>
        </w:tc>
        <w:tc>
          <w:tcPr>
            <w:tcW w:w="4111" w:type="dxa"/>
            <w:vAlign w:val="center"/>
          </w:tcPr>
          <w:p w:rsidR="000B38EE" w:rsidRPr="000C5083" w:rsidRDefault="000B38EE" w:rsidP="002F78D0">
            <w:pPr>
              <w:rPr>
                <w:rFonts w:ascii="仿宋_GB2312" w:eastAsia="仿宋_GB2312"/>
                <w:sz w:val="24"/>
                <w:szCs w:val="24"/>
                <w:shd w:val="clear" w:color="auto" w:fill="FFFFFF"/>
              </w:rPr>
            </w:pPr>
            <w:r w:rsidRPr="000C5083">
              <w:rPr>
                <w:rFonts w:ascii="仿宋_GB2312" w:eastAsia="仿宋_GB2312" w:hint="eastAsia"/>
                <w:sz w:val="24"/>
                <w:szCs w:val="24"/>
                <w:shd w:val="clear" w:color="auto" w:fill="FFFFFF"/>
              </w:rPr>
              <w:t>1.5  职业年金：指机关事业单位及其工作人员在参加机关事业单位基本养老保险的基础上，建立的补充养老保险制度。</w:t>
            </w:r>
          </w:p>
          <w:p w:rsidR="000B38EE" w:rsidRPr="000C5083" w:rsidRDefault="000B38EE" w:rsidP="002F78D0">
            <w:pPr>
              <w:rPr>
                <w:rFonts w:ascii="仿宋_GB2312" w:eastAsia="仿宋_GB2312"/>
                <w:sz w:val="24"/>
                <w:szCs w:val="24"/>
                <w:shd w:val="clear" w:color="auto" w:fill="FFFFFF"/>
              </w:rPr>
            </w:pPr>
            <w:r w:rsidRPr="000C5083">
              <w:rPr>
                <w:rFonts w:ascii="仿宋_GB2312" w:eastAsia="仿宋_GB2312" w:hint="eastAsia"/>
                <w:sz w:val="24"/>
                <w:szCs w:val="24"/>
                <w:shd w:val="clear" w:color="auto" w:fill="FFFFFF"/>
              </w:rPr>
              <w:t>1.6  职业年金计划：为管理职业年金基金，根据相关法律法规规定由代理人发起的职业年金基金管理单元。</w:t>
            </w:r>
          </w:p>
          <w:p w:rsidR="000B38EE" w:rsidRPr="00167EAE" w:rsidRDefault="000B38EE" w:rsidP="002F78D0">
            <w:pPr>
              <w:rPr>
                <w:rFonts w:ascii="仿宋_GB2312" w:eastAsia="仿宋_GB2312"/>
                <w:sz w:val="24"/>
                <w:szCs w:val="24"/>
                <w:shd w:val="clear" w:color="auto" w:fill="FFFFFF"/>
              </w:rPr>
            </w:pPr>
            <w:r w:rsidRPr="000C5083">
              <w:rPr>
                <w:rFonts w:ascii="仿宋_GB2312" w:eastAsia="仿宋_GB2312" w:hint="eastAsia"/>
                <w:sz w:val="24"/>
                <w:szCs w:val="24"/>
                <w:shd w:val="clear" w:color="auto" w:fill="FFFFFF"/>
              </w:rPr>
              <w:t>1.7  职业年金基金财产：指依法建立的职业年金计划筹集的资金及其投资运营收益形成的机关事业单位补充养老保险基金。</w:t>
            </w:r>
          </w:p>
        </w:tc>
      </w:tr>
      <w:tr w:rsidR="000B38EE" w:rsidRPr="00167EAE" w:rsidTr="00557C65">
        <w:trPr>
          <w:jc w:val="center"/>
        </w:trPr>
        <w:tc>
          <w:tcPr>
            <w:tcW w:w="1271" w:type="dxa"/>
            <w:vAlign w:val="center"/>
          </w:tcPr>
          <w:p w:rsidR="000B38EE" w:rsidRPr="00167EAE" w:rsidRDefault="000B38EE" w:rsidP="002F78D0">
            <w:pPr>
              <w:jc w:val="center"/>
              <w:rPr>
                <w:rFonts w:ascii="仿宋_GB2312" w:eastAsia="仿宋_GB2312" w:hAnsi="宋体"/>
                <w:sz w:val="24"/>
                <w:szCs w:val="24"/>
              </w:rPr>
            </w:pPr>
            <w:r>
              <w:rPr>
                <w:rFonts w:ascii="仿宋_GB2312" w:eastAsia="仿宋_GB2312" w:hAnsi="宋体" w:hint="eastAsia"/>
                <w:sz w:val="24"/>
                <w:szCs w:val="24"/>
              </w:rPr>
              <w:t>1.6</w:t>
            </w:r>
          </w:p>
        </w:tc>
        <w:tc>
          <w:tcPr>
            <w:tcW w:w="3260" w:type="dxa"/>
            <w:vAlign w:val="center"/>
          </w:tcPr>
          <w:p w:rsidR="000B38EE" w:rsidRPr="00167EAE" w:rsidRDefault="000B38EE" w:rsidP="002F78D0">
            <w:pPr>
              <w:rPr>
                <w:rFonts w:ascii="仿宋_GB2312" w:eastAsia="仿宋_GB2312"/>
                <w:sz w:val="24"/>
                <w:szCs w:val="24"/>
                <w:shd w:val="clear" w:color="auto" w:fill="FFFFFF"/>
              </w:rPr>
            </w:pPr>
            <w:r w:rsidRPr="000C5083">
              <w:rPr>
                <w:rFonts w:ascii="仿宋_GB2312" w:eastAsia="仿宋_GB2312" w:hint="eastAsia"/>
                <w:sz w:val="24"/>
                <w:szCs w:val="24"/>
                <w:shd w:val="clear" w:color="auto" w:fill="FFFFFF"/>
              </w:rPr>
              <w:t>投资人:根据投资管理合同申购养老金产品份额的企业年金计划或者企业年金计划投资组合，由企业年金计划受托人或者企业年金计划投资组合投资管理人代为行使养老金产品的投资人职责。养老金产品投资人在申购成功并取得养老金产品份额后亦称为份额持有人。</w:t>
            </w:r>
          </w:p>
        </w:tc>
        <w:tc>
          <w:tcPr>
            <w:tcW w:w="4111" w:type="dxa"/>
            <w:vAlign w:val="center"/>
          </w:tcPr>
          <w:p w:rsidR="000B38EE" w:rsidRPr="00167EAE" w:rsidRDefault="000B38EE" w:rsidP="002F78D0">
            <w:pPr>
              <w:rPr>
                <w:rFonts w:ascii="仿宋_GB2312" w:eastAsia="仿宋_GB2312"/>
                <w:sz w:val="24"/>
                <w:szCs w:val="24"/>
                <w:shd w:val="clear" w:color="auto" w:fill="FFFFFF"/>
              </w:rPr>
            </w:pPr>
            <w:r w:rsidRPr="000C5083">
              <w:rPr>
                <w:rFonts w:ascii="仿宋_GB2312" w:eastAsia="仿宋_GB2312" w:hint="eastAsia"/>
                <w:sz w:val="24"/>
                <w:szCs w:val="24"/>
                <w:shd w:val="clear" w:color="auto" w:fill="FFFFFF"/>
              </w:rPr>
              <w:t>投资人:根据投资管理合同申购养老金产品份额的企业年金计划或者企业年金计划投资组合、职业年金计</w:t>
            </w:r>
            <w:r>
              <w:rPr>
                <w:rFonts w:ascii="仿宋_GB2312" w:eastAsia="仿宋_GB2312" w:hint="eastAsia"/>
                <w:sz w:val="24"/>
                <w:szCs w:val="24"/>
                <w:shd w:val="clear" w:color="auto" w:fill="FFFFFF"/>
              </w:rPr>
              <w:t>划或职业年金计划投资组合以及其他符合监管机构要求的合格投资主体</w:t>
            </w:r>
            <w:r w:rsidRPr="000C5083">
              <w:rPr>
                <w:rFonts w:ascii="仿宋_GB2312" w:eastAsia="仿宋_GB2312" w:hint="eastAsia"/>
                <w:sz w:val="24"/>
                <w:szCs w:val="24"/>
                <w:shd w:val="clear" w:color="auto" w:fill="FFFFFF"/>
              </w:rPr>
              <w:t>。养老金产品投资人在申购成功并取得养老金产品份额后亦称为份额持有人。</w:t>
            </w:r>
          </w:p>
        </w:tc>
      </w:tr>
      <w:tr w:rsidR="00FB46F3" w:rsidRPr="00167EAE" w:rsidTr="00557C65">
        <w:trPr>
          <w:jc w:val="center"/>
        </w:trPr>
        <w:tc>
          <w:tcPr>
            <w:tcW w:w="1271" w:type="dxa"/>
            <w:vAlign w:val="center"/>
          </w:tcPr>
          <w:p w:rsidR="00FB46F3" w:rsidRPr="00167EAE" w:rsidRDefault="00FB46F3" w:rsidP="002F78D0">
            <w:pPr>
              <w:jc w:val="center"/>
              <w:rPr>
                <w:rFonts w:ascii="仿宋_GB2312" w:eastAsia="仿宋_GB2312" w:hAnsi="宋体"/>
                <w:sz w:val="24"/>
                <w:szCs w:val="24"/>
              </w:rPr>
            </w:pPr>
            <w:r w:rsidRPr="00167EAE">
              <w:rPr>
                <w:rFonts w:ascii="仿宋_GB2312" w:eastAsia="仿宋_GB2312" w:hAnsi="宋体" w:hint="eastAsia"/>
                <w:sz w:val="24"/>
                <w:szCs w:val="24"/>
              </w:rPr>
              <w:t>第二章 养老金</w:t>
            </w:r>
            <w:r w:rsidRPr="00167EAE">
              <w:rPr>
                <w:rFonts w:ascii="仿宋_GB2312" w:eastAsia="仿宋_GB2312" w:hAnsi="宋体"/>
                <w:sz w:val="24"/>
                <w:szCs w:val="24"/>
              </w:rPr>
              <w:t>产品概况</w:t>
            </w:r>
          </w:p>
        </w:tc>
        <w:tc>
          <w:tcPr>
            <w:tcW w:w="3260" w:type="dxa"/>
            <w:vAlign w:val="center"/>
          </w:tcPr>
          <w:p w:rsidR="00FB46F3" w:rsidRDefault="00FB46F3" w:rsidP="002F78D0">
            <w:pPr>
              <w:rPr>
                <w:rFonts w:ascii="仿宋_GB2312" w:eastAsia="仿宋_GB2312" w:hAnsi="宋体"/>
                <w:sz w:val="24"/>
              </w:rPr>
            </w:pPr>
            <w:r w:rsidRPr="00DD274F">
              <w:rPr>
                <w:rFonts w:ascii="仿宋_GB2312" w:eastAsia="仿宋_GB2312" w:hAnsi="宋体" w:hint="eastAsia"/>
                <w:sz w:val="24"/>
              </w:rPr>
              <w:t>运作期报告</w:t>
            </w:r>
          </w:p>
          <w:p w:rsidR="00FB46F3" w:rsidRPr="00167EAE" w:rsidRDefault="00FB46F3" w:rsidP="002F78D0">
            <w:pPr>
              <w:rPr>
                <w:rFonts w:ascii="仿宋_GB2312" w:eastAsia="仿宋_GB2312" w:hAnsi="宋体"/>
                <w:bCs/>
                <w:sz w:val="24"/>
                <w:szCs w:val="24"/>
              </w:rPr>
            </w:pPr>
            <w:r w:rsidRPr="00FB46F3">
              <w:rPr>
                <w:rFonts w:ascii="仿宋_GB2312" w:eastAsia="仿宋_GB2312" w:hAnsi="宋体" w:hint="eastAsia"/>
                <w:bCs/>
                <w:sz w:val="24"/>
                <w:szCs w:val="24"/>
              </w:rPr>
              <w:t>每交易</w:t>
            </w:r>
            <w:proofErr w:type="gramStart"/>
            <w:r w:rsidRPr="00FB46F3">
              <w:rPr>
                <w:rFonts w:ascii="仿宋_GB2312" w:eastAsia="仿宋_GB2312" w:hAnsi="宋体" w:hint="eastAsia"/>
                <w:bCs/>
                <w:sz w:val="24"/>
                <w:szCs w:val="24"/>
              </w:rPr>
              <w:t>日单位</w:t>
            </w:r>
            <w:proofErr w:type="gramEnd"/>
            <w:r w:rsidRPr="00FB46F3">
              <w:rPr>
                <w:rFonts w:ascii="仿宋_GB2312" w:eastAsia="仿宋_GB2312" w:hAnsi="宋体" w:hint="eastAsia"/>
                <w:bCs/>
                <w:sz w:val="24"/>
                <w:szCs w:val="24"/>
              </w:rPr>
              <w:t>净值、季报、临时报告和重</w:t>
            </w:r>
            <w:r w:rsidRPr="00FB46F3">
              <w:rPr>
                <w:rFonts w:ascii="仿宋_GB2312" w:eastAsia="仿宋_GB2312" w:hAnsi="宋体" w:hint="eastAsia"/>
                <w:bCs/>
                <w:sz w:val="24"/>
                <w:szCs w:val="24"/>
              </w:rPr>
              <w:lastRenderedPageBreak/>
              <w:t>大信息披露。</w:t>
            </w:r>
          </w:p>
        </w:tc>
        <w:tc>
          <w:tcPr>
            <w:tcW w:w="4111" w:type="dxa"/>
            <w:vAlign w:val="center"/>
          </w:tcPr>
          <w:p w:rsidR="00FB46F3" w:rsidRDefault="00FB46F3" w:rsidP="002F78D0">
            <w:pPr>
              <w:rPr>
                <w:rFonts w:ascii="仿宋_GB2312" w:eastAsia="仿宋_GB2312" w:hAnsi="宋体"/>
                <w:sz w:val="24"/>
              </w:rPr>
            </w:pPr>
            <w:r w:rsidRPr="00DD274F">
              <w:rPr>
                <w:rFonts w:ascii="仿宋_GB2312" w:eastAsia="仿宋_GB2312" w:hAnsi="宋体" w:hint="eastAsia"/>
                <w:sz w:val="24"/>
              </w:rPr>
              <w:lastRenderedPageBreak/>
              <w:t>运作期报告</w:t>
            </w:r>
          </w:p>
          <w:p w:rsidR="00FB46F3" w:rsidRPr="00FB46F3" w:rsidRDefault="00FB46F3" w:rsidP="002F78D0">
            <w:pPr>
              <w:rPr>
                <w:rFonts w:ascii="仿宋_GB2312" w:eastAsia="仿宋_GB2312" w:hAnsi="宋体"/>
                <w:bCs/>
                <w:sz w:val="24"/>
                <w:szCs w:val="24"/>
              </w:rPr>
            </w:pPr>
            <w:r w:rsidRPr="00FB46F3">
              <w:rPr>
                <w:rFonts w:ascii="仿宋_GB2312" w:eastAsia="仿宋_GB2312" w:hAnsi="宋体" w:hint="eastAsia"/>
                <w:bCs/>
                <w:sz w:val="24"/>
                <w:szCs w:val="24"/>
              </w:rPr>
              <w:t>每交易</w:t>
            </w:r>
            <w:proofErr w:type="gramStart"/>
            <w:r w:rsidRPr="00FB46F3">
              <w:rPr>
                <w:rFonts w:ascii="仿宋_GB2312" w:eastAsia="仿宋_GB2312" w:hAnsi="宋体" w:hint="eastAsia"/>
                <w:bCs/>
                <w:sz w:val="24"/>
                <w:szCs w:val="24"/>
              </w:rPr>
              <w:t>日单位</w:t>
            </w:r>
            <w:proofErr w:type="gramEnd"/>
            <w:r w:rsidRPr="00FB46F3">
              <w:rPr>
                <w:rFonts w:ascii="仿宋_GB2312" w:eastAsia="仿宋_GB2312" w:hAnsi="宋体" w:hint="eastAsia"/>
                <w:bCs/>
                <w:sz w:val="24"/>
                <w:szCs w:val="24"/>
              </w:rPr>
              <w:t>净值、季报、</w:t>
            </w:r>
            <w:r>
              <w:rPr>
                <w:rFonts w:ascii="仿宋_GB2312" w:eastAsia="仿宋_GB2312" w:hAnsi="宋体" w:hint="eastAsia"/>
                <w:bCs/>
                <w:sz w:val="24"/>
                <w:szCs w:val="24"/>
              </w:rPr>
              <w:t>年报、</w:t>
            </w:r>
            <w:r w:rsidRPr="00FB46F3">
              <w:rPr>
                <w:rFonts w:ascii="仿宋_GB2312" w:eastAsia="仿宋_GB2312" w:hAnsi="宋体" w:hint="eastAsia"/>
                <w:bCs/>
                <w:sz w:val="24"/>
                <w:szCs w:val="24"/>
              </w:rPr>
              <w:t>临时报告和重大信</w:t>
            </w:r>
            <w:r w:rsidRPr="00FB46F3">
              <w:rPr>
                <w:rFonts w:ascii="仿宋_GB2312" w:eastAsia="仿宋_GB2312" w:hAnsi="宋体" w:hint="eastAsia"/>
                <w:bCs/>
                <w:sz w:val="24"/>
                <w:szCs w:val="24"/>
              </w:rPr>
              <w:lastRenderedPageBreak/>
              <w:t>息披露。</w:t>
            </w:r>
          </w:p>
        </w:tc>
      </w:tr>
      <w:tr w:rsidR="00B23508" w:rsidRPr="00167EAE" w:rsidTr="00557C65">
        <w:trPr>
          <w:jc w:val="center"/>
        </w:trPr>
        <w:tc>
          <w:tcPr>
            <w:tcW w:w="1271" w:type="dxa"/>
            <w:vAlign w:val="center"/>
          </w:tcPr>
          <w:p w:rsidR="00B23508" w:rsidRPr="00167EAE" w:rsidRDefault="00B23508" w:rsidP="002F78D0">
            <w:pPr>
              <w:jc w:val="center"/>
              <w:rPr>
                <w:rFonts w:ascii="仿宋_GB2312" w:eastAsia="仿宋_GB2312" w:hAnsi="宋体"/>
                <w:sz w:val="24"/>
                <w:szCs w:val="24"/>
              </w:rPr>
            </w:pPr>
            <w:r>
              <w:rPr>
                <w:rFonts w:ascii="仿宋_GB2312" w:eastAsia="仿宋_GB2312" w:hAnsi="宋体" w:hint="eastAsia"/>
                <w:sz w:val="24"/>
                <w:szCs w:val="24"/>
              </w:rPr>
              <w:lastRenderedPageBreak/>
              <w:t>3.</w:t>
            </w:r>
            <w:r>
              <w:rPr>
                <w:rFonts w:ascii="仿宋_GB2312" w:eastAsia="仿宋_GB2312" w:hAnsi="宋体"/>
                <w:sz w:val="24"/>
                <w:szCs w:val="24"/>
              </w:rPr>
              <w:t>2</w:t>
            </w:r>
          </w:p>
        </w:tc>
        <w:tc>
          <w:tcPr>
            <w:tcW w:w="3260" w:type="dxa"/>
            <w:vAlign w:val="center"/>
          </w:tcPr>
          <w:p w:rsidR="00B23508" w:rsidRPr="00444D35" w:rsidRDefault="00B23508" w:rsidP="002F78D0">
            <w:pPr>
              <w:rPr>
                <w:rFonts w:ascii="仿宋_GB2312" w:eastAsia="仿宋_GB2312"/>
                <w:sz w:val="24"/>
                <w:szCs w:val="24"/>
                <w:shd w:val="clear" w:color="auto" w:fill="FFFFFF"/>
              </w:rPr>
            </w:pPr>
            <w:r>
              <w:rPr>
                <w:rFonts w:ascii="仿宋_GB2312" w:eastAsia="仿宋_GB2312" w:hint="eastAsia"/>
                <w:sz w:val="24"/>
                <w:szCs w:val="24"/>
                <w:shd w:val="clear" w:color="auto" w:fill="FFFFFF"/>
              </w:rPr>
              <w:t>托管人概况</w:t>
            </w:r>
            <w:r w:rsidRPr="00444D35">
              <w:rPr>
                <w:rFonts w:ascii="仿宋_GB2312" w:eastAsia="仿宋_GB2312" w:hint="eastAsia"/>
                <w:sz w:val="24"/>
                <w:szCs w:val="24"/>
                <w:shd w:val="clear" w:color="auto" w:fill="FFFFFF"/>
              </w:rPr>
              <w:t xml:space="preserve">                                        </w:t>
            </w:r>
          </w:p>
          <w:p w:rsidR="00B23508" w:rsidRPr="00444D35" w:rsidRDefault="00B23508" w:rsidP="002F78D0">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联系地址：北京东城区朝阳门北大街8号富华大厦C座</w:t>
            </w:r>
          </w:p>
          <w:p w:rsidR="00B23508" w:rsidRPr="00444D35" w:rsidRDefault="00B23508" w:rsidP="002F78D0">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 xml:space="preserve">邮政编码：100027                                            </w:t>
            </w:r>
          </w:p>
          <w:p w:rsidR="00B23508" w:rsidRPr="00444D35" w:rsidRDefault="00B23508" w:rsidP="002F78D0">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 xml:space="preserve">电    话：010-65556827                                                                                           </w:t>
            </w:r>
          </w:p>
          <w:p w:rsidR="00B23508" w:rsidRPr="000C5083" w:rsidRDefault="00B23508" w:rsidP="002F78D0">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 xml:space="preserve">法定代表人：常振明                                           </w:t>
            </w:r>
          </w:p>
        </w:tc>
        <w:tc>
          <w:tcPr>
            <w:tcW w:w="4111" w:type="dxa"/>
            <w:vAlign w:val="center"/>
          </w:tcPr>
          <w:p w:rsidR="00B23508" w:rsidRPr="00444D35" w:rsidRDefault="00B23508" w:rsidP="002F78D0">
            <w:pPr>
              <w:rPr>
                <w:rFonts w:ascii="仿宋_GB2312" w:eastAsia="仿宋_GB2312"/>
                <w:sz w:val="24"/>
                <w:szCs w:val="24"/>
                <w:shd w:val="clear" w:color="auto" w:fill="FFFFFF"/>
              </w:rPr>
            </w:pPr>
            <w:r>
              <w:rPr>
                <w:rFonts w:ascii="仿宋_GB2312" w:eastAsia="仿宋_GB2312" w:hint="eastAsia"/>
                <w:sz w:val="24"/>
                <w:szCs w:val="24"/>
                <w:shd w:val="clear" w:color="auto" w:fill="FFFFFF"/>
              </w:rPr>
              <w:t>托管人</w:t>
            </w:r>
            <w:r>
              <w:rPr>
                <w:rFonts w:ascii="仿宋_GB2312" w:eastAsia="仿宋_GB2312"/>
                <w:sz w:val="24"/>
                <w:szCs w:val="24"/>
                <w:shd w:val="clear" w:color="auto" w:fill="FFFFFF"/>
              </w:rPr>
              <w:t>概况</w:t>
            </w:r>
            <w:r w:rsidRPr="00444D35">
              <w:rPr>
                <w:rFonts w:ascii="仿宋_GB2312" w:eastAsia="仿宋_GB2312" w:hint="eastAsia"/>
                <w:sz w:val="24"/>
                <w:szCs w:val="24"/>
                <w:shd w:val="clear" w:color="auto" w:fill="FFFFFF"/>
              </w:rPr>
              <w:t xml:space="preserve">                                         </w:t>
            </w:r>
          </w:p>
          <w:p w:rsidR="00B23508" w:rsidRPr="00444D35" w:rsidRDefault="00B23508" w:rsidP="002F78D0">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 xml:space="preserve">联系地址：北京市东城区朝阳门北大街9号 </w:t>
            </w:r>
          </w:p>
          <w:p w:rsidR="00B23508" w:rsidRPr="00444D35" w:rsidRDefault="00B23508" w:rsidP="002F78D0">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 xml:space="preserve">邮政编码：100010                                            </w:t>
            </w:r>
          </w:p>
          <w:p w:rsidR="00B23508" w:rsidRPr="00444D35" w:rsidRDefault="00B23508" w:rsidP="002F78D0">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 xml:space="preserve">电    话：010-89936310                                                                                           </w:t>
            </w:r>
          </w:p>
          <w:p w:rsidR="00B23508" w:rsidRPr="00444D35" w:rsidRDefault="00B23508" w:rsidP="002F78D0">
            <w:pPr>
              <w:rPr>
                <w:rFonts w:ascii="仿宋_GB2312" w:eastAsia="仿宋_GB2312"/>
                <w:sz w:val="24"/>
                <w:szCs w:val="24"/>
                <w:shd w:val="clear" w:color="auto" w:fill="FFFFFF"/>
              </w:rPr>
            </w:pPr>
            <w:r w:rsidRPr="00444D35">
              <w:rPr>
                <w:rFonts w:ascii="仿宋_GB2312" w:eastAsia="仿宋_GB2312" w:hint="eastAsia"/>
                <w:sz w:val="24"/>
                <w:szCs w:val="24"/>
                <w:shd w:val="clear" w:color="auto" w:fill="FFFFFF"/>
              </w:rPr>
              <w:t xml:space="preserve">法定代表人：李庆萍                                             </w:t>
            </w:r>
          </w:p>
          <w:p w:rsidR="00B23508" w:rsidRPr="000C5083" w:rsidRDefault="00B23508" w:rsidP="002F78D0">
            <w:pPr>
              <w:rPr>
                <w:rFonts w:ascii="仿宋_GB2312" w:eastAsia="仿宋_GB2312"/>
                <w:sz w:val="24"/>
                <w:szCs w:val="24"/>
                <w:shd w:val="clear" w:color="auto" w:fill="FFFFFF"/>
              </w:rPr>
            </w:pPr>
          </w:p>
        </w:tc>
      </w:tr>
      <w:tr w:rsidR="000B38EE" w:rsidRPr="00167EAE" w:rsidTr="00557C65">
        <w:trPr>
          <w:jc w:val="center"/>
        </w:trPr>
        <w:tc>
          <w:tcPr>
            <w:tcW w:w="1271" w:type="dxa"/>
            <w:vAlign w:val="center"/>
          </w:tcPr>
          <w:p w:rsidR="000B38EE" w:rsidRPr="00167EAE" w:rsidRDefault="000B38EE" w:rsidP="002F78D0">
            <w:pPr>
              <w:jc w:val="center"/>
              <w:rPr>
                <w:rFonts w:ascii="仿宋_GB2312" w:eastAsia="仿宋_GB2312" w:hAnsi="宋体"/>
                <w:sz w:val="24"/>
                <w:szCs w:val="24"/>
              </w:rPr>
            </w:pPr>
            <w:r>
              <w:rPr>
                <w:rFonts w:ascii="仿宋_GB2312" w:eastAsia="仿宋_GB2312" w:hAnsi="宋体" w:hint="eastAsia"/>
                <w:sz w:val="24"/>
                <w:szCs w:val="24"/>
              </w:rPr>
              <w:t>5.4.3</w:t>
            </w:r>
          </w:p>
        </w:tc>
        <w:tc>
          <w:tcPr>
            <w:tcW w:w="3260" w:type="dxa"/>
            <w:vAlign w:val="center"/>
          </w:tcPr>
          <w:p w:rsidR="000B38EE" w:rsidRPr="000C5083" w:rsidRDefault="000B38EE" w:rsidP="002F78D0">
            <w:pPr>
              <w:rPr>
                <w:rFonts w:ascii="仿宋_GB2312" w:eastAsia="仿宋_GB2312" w:hAnsi="宋体"/>
                <w:bCs/>
                <w:sz w:val="24"/>
                <w:szCs w:val="24"/>
              </w:rPr>
            </w:pPr>
            <w:r w:rsidRPr="000C5083">
              <w:rPr>
                <w:rFonts w:ascii="仿宋_GB2312" w:eastAsia="仿宋_GB2312" w:hAnsi="宋体" w:hint="eastAsia"/>
                <w:bCs/>
                <w:sz w:val="24"/>
                <w:szCs w:val="24"/>
              </w:rPr>
              <w:t>申购与赎回申请的款项支付。</w:t>
            </w:r>
          </w:p>
          <w:p w:rsidR="000B38EE" w:rsidRPr="000C5083" w:rsidRDefault="000B38EE" w:rsidP="002F78D0">
            <w:pPr>
              <w:rPr>
                <w:rFonts w:ascii="仿宋_GB2312" w:eastAsia="仿宋_GB2312" w:hAnsi="宋体"/>
                <w:bCs/>
                <w:sz w:val="24"/>
                <w:szCs w:val="24"/>
              </w:rPr>
            </w:pPr>
            <w:r w:rsidRPr="000C5083">
              <w:rPr>
                <w:rFonts w:ascii="仿宋_GB2312" w:eastAsia="仿宋_GB2312" w:hAnsi="宋体" w:hint="eastAsia"/>
                <w:bCs/>
                <w:sz w:val="24"/>
                <w:szCs w:val="24"/>
              </w:rPr>
              <w:t>申购采用全额交款方式，若资金在规定时间内未全额到账则申购不成功，申购不成功的款项将退回相应投资人的企业年金托管账户。</w:t>
            </w:r>
          </w:p>
          <w:p w:rsidR="000B38EE" w:rsidRPr="00167EAE" w:rsidRDefault="000B38EE" w:rsidP="002F78D0">
            <w:pPr>
              <w:rPr>
                <w:rFonts w:ascii="仿宋_GB2312" w:eastAsia="仿宋_GB2312" w:hAnsi="宋体"/>
                <w:bCs/>
                <w:sz w:val="24"/>
                <w:szCs w:val="24"/>
              </w:rPr>
            </w:pPr>
            <w:r w:rsidRPr="000C5083">
              <w:rPr>
                <w:rFonts w:ascii="仿宋_GB2312" w:eastAsia="仿宋_GB2312" w:hAnsi="宋体" w:hint="eastAsia"/>
                <w:bCs/>
                <w:sz w:val="24"/>
                <w:szCs w:val="24"/>
              </w:rPr>
              <w:t>投资人赎回申请成功后，投资管理人应按规定向投资人支付赎回款项。赎回款项应在自受理投资人有效赎回申请之日起不超过5个工作日的时间内</w:t>
            </w:r>
            <w:proofErr w:type="gramStart"/>
            <w:r w:rsidRPr="000C5083">
              <w:rPr>
                <w:rFonts w:ascii="仿宋_GB2312" w:eastAsia="仿宋_GB2312" w:hAnsi="宋体" w:hint="eastAsia"/>
                <w:bCs/>
                <w:sz w:val="24"/>
                <w:szCs w:val="24"/>
              </w:rPr>
              <w:t>划往相应</w:t>
            </w:r>
            <w:proofErr w:type="gramEnd"/>
            <w:r w:rsidRPr="000C5083">
              <w:rPr>
                <w:rFonts w:ascii="仿宋_GB2312" w:eastAsia="仿宋_GB2312" w:hAnsi="宋体" w:hint="eastAsia"/>
                <w:bCs/>
                <w:sz w:val="24"/>
                <w:szCs w:val="24"/>
              </w:rPr>
              <w:t>投资人的企业年金托管账户。在发生巨额赎回时，款项的支付办法按本合同有关规定处理。</w:t>
            </w:r>
          </w:p>
        </w:tc>
        <w:tc>
          <w:tcPr>
            <w:tcW w:w="4111" w:type="dxa"/>
            <w:vAlign w:val="center"/>
          </w:tcPr>
          <w:p w:rsidR="000B38EE" w:rsidRPr="000C5083" w:rsidRDefault="000B38EE" w:rsidP="002F78D0">
            <w:pPr>
              <w:rPr>
                <w:rFonts w:ascii="仿宋_GB2312" w:eastAsia="仿宋_GB2312" w:hAnsi="宋体"/>
                <w:bCs/>
                <w:sz w:val="24"/>
                <w:szCs w:val="24"/>
              </w:rPr>
            </w:pPr>
            <w:r w:rsidRPr="000C5083">
              <w:rPr>
                <w:rFonts w:ascii="仿宋_GB2312" w:eastAsia="仿宋_GB2312" w:hAnsi="宋体" w:hint="eastAsia"/>
                <w:bCs/>
                <w:sz w:val="24"/>
                <w:szCs w:val="24"/>
              </w:rPr>
              <w:t>申购与赎回申请的款项支付。</w:t>
            </w:r>
          </w:p>
          <w:p w:rsidR="000B38EE" w:rsidRPr="000C5083" w:rsidRDefault="000B38EE" w:rsidP="002F78D0">
            <w:pPr>
              <w:rPr>
                <w:rFonts w:ascii="仿宋_GB2312" w:eastAsia="仿宋_GB2312" w:hAnsi="宋体"/>
                <w:bCs/>
                <w:sz w:val="24"/>
                <w:szCs w:val="24"/>
              </w:rPr>
            </w:pPr>
            <w:r w:rsidRPr="000C5083">
              <w:rPr>
                <w:rFonts w:ascii="仿宋_GB2312" w:eastAsia="仿宋_GB2312" w:hAnsi="宋体" w:hint="eastAsia"/>
                <w:bCs/>
                <w:sz w:val="24"/>
                <w:szCs w:val="24"/>
              </w:rPr>
              <w:t>申购采用全额交款方式，若资金在规定时间内未全额到账则申购不成功，申购不成功的款项将退回相应投资人账户。</w:t>
            </w:r>
          </w:p>
          <w:p w:rsidR="000B38EE" w:rsidRPr="00167EAE" w:rsidRDefault="000B38EE" w:rsidP="002F78D0">
            <w:pPr>
              <w:rPr>
                <w:rFonts w:ascii="仿宋_GB2312" w:eastAsia="仿宋_GB2312" w:hAnsi="宋体"/>
                <w:bCs/>
                <w:sz w:val="24"/>
                <w:szCs w:val="24"/>
              </w:rPr>
            </w:pPr>
            <w:r w:rsidRPr="000C5083">
              <w:rPr>
                <w:rFonts w:ascii="仿宋_GB2312" w:eastAsia="仿宋_GB2312" w:hAnsi="宋体" w:hint="eastAsia"/>
                <w:bCs/>
                <w:sz w:val="24"/>
                <w:szCs w:val="24"/>
              </w:rPr>
              <w:t>投资人赎回申请成功后，投资管理人应按规定向投资人支付赎回款项。赎回款项应在自受理投资人有效赎回申请之日起不超过5个工作日的时间内</w:t>
            </w:r>
            <w:proofErr w:type="gramStart"/>
            <w:r w:rsidRPr="000C5083">
              <w:rPr>
                <w:rFonts w:ascii="仿宋_GB2312" w:eastAsia="仿宋_GB2312" w:hAnsi="宋体" w:hint="eastAsia"/>
                <w:bCs/>
                <w:sz w:val="24"/>
                <w:szCs w:val="24"/>
              </w:rPr>
              <w:t>划往相应</w:t>
            </w:r>
            <w:proofErr w:type="gramEnd"/>
            <w:r w:rsidRPr="000C5083">
              <w:rPr>
                <w:rFonts w:ascii="仿宋_GB2312" w:eastAsia="仿宋_GB2312" w:hAnsi="宋体" w:hint="eastAsia"/>
                <w:bCs/>
                <w:sz w:val="24"/>
                <w:szCs w:val="24"/>
              </w:rPr>
              <w:t>投资人账户。在发生巨额赎回时，款项的支付办法按本合同有关规定处理。</w:t>
            </w:r>
          </w:p>
        </w:tc>
      </w:tr>
      <w:tr w:rsidR="00595F9F" w:rsidRPr="00167EAE" w:rsidTr="00557C65">
        <w:trPr>
          <w:jc w:val="center"/>
        </w:trPr>
        <w:tc>
          <w:tcPr>
            <w:tcW w:w="1271" w:type="dxa"/>
            <w:vAlign w:val="center"/>
          </w:tcPr>
          <w:p w:rsidR="00595F9F" w:rsidRPr="00167EAE" w:rsidRDefault="00595F9F" w:rsidP="002F78D0">
            <w:pPr>
              <w:jc w:val="center"/>
              <w:rPr>
                <w:rFonts w:ascii="仿宋_GB2312" w:eastAsia="仿宋_GB2312" w:hAnsi="宋体"/>
                <w:sz w:val="24"/>
                <w:szCs w:val="24"/>
              </w:rPr>
            </w:pPr>
            <w:r w:rsidRPr="00167EAE">
              <w:rPr>
                <w:rFonts w:ascii="仿宋_GB2312" w:eastAsia="仿宋_GB2312" w:hAnsi="宋体" w:hint="eastAsia"/>
                <w:sz w:val="24"/>
                <w:szCs w:val="24"/>
              </w:rPr>
              <w:t>7.4.5</w:t>
            </w:r>
          </w:p>
          <w:p w:rsidR="00595F9F" w:rsidRPr="00167EAE" w:rsidRDefault="00595F9F" w:rsidP="002F78D0">
            <w:pPr>
              <w:jc w:val="center"/>
              <w:rPr>
                <w:rFonts w:ascii="仿宋_GB2312" w:eastAsia="仿宋_GB2312" w:hAnsi="宋体"/>
                <w:sz w:val="24"/>
                <w:szCs w:val="24"/>
              </w:rPr>
            </w:pPr>
            <w:r w:rsidRPr="00167EAE">
              <w:rPr>
                <w:rFonts w:ascii="仿宋_GB2312" w:eastAsia="仿宋_GB2312" w:hAnsi="宋体" w:hint="eastAsia"/>
                <w:sz w:val="24"/>
                <w:szCs w:val="24"/>
              </w:rPr>
              <w:t>（新增）</w:t>
            </w:r>
          </w:p>
        </w:tc>
        <w:tc>
          <w:tcPr>
            <w:tcW w:w="3260" w:type="dxa"/>
            <w:vAlign w:val="center"/>
          </w:tcPr>
          <w:p w:rsidR="00595F9F" w:rsidRPr="00167EAE" w:rsidRDefault="00595F9F" w:rsidP="002F78D0">
            <w:pPr>
              <w:rPr>
                <w:rFonts w:ascii="仿宋_GB2312" w:eastAsia="仿宋_GB2312" w:hAnsi="宋体"/>
                <w:bCs/>
                <w:sz w:val="24"/>
                <w:szCs w:val="24"/>
              </w:rPr>
            </w:pPr>
          </w:p>
        </w:tc>
        <w:tc>
          <w:tcPr>
            <w:tcW w:w="4111" w:type="dxa"/>
            <w:vAlign w:val="center"/>
          </w:tcPr>
          <w:p w:rsidR="00595F9F" w:rsidRPr="00167EAE" w:rsidRDefault="00595F9F" w:rsidP="002F78D0">
            <w:pPr>
              <w:rPr>
                <w:rFonts w:ascii="仿宋_GB2312" w:eastAsia="仿宋_GB2312" w:hAnsi="宋体"/>
                <w:bCs/>
                <w:sz w:val="24"/>
                <w:szCs w:val="24"/>
              </w:rPr>
            </w:pPr>
            <w:r w:rsidRPr="00167EAE">
              <w:rPr>
                <w:rFonts w:ascii="仿宋_GB2312" w:eastAsia="仿宋_GB2312" w:hAnsi="宋体" w:hint="eastAsia"/>
                <w:bCs/>
                <w:sz w:val="24"/>
                <w:szCs w:val="24"/>
              </w:rPr>
              <w:t>投资管理人可以在本合同约定的投资范围内，运用本养老金产品资产投资于本产品投资人、投资管理人、托管人及其关联</w:t>
            </w:r>
            <w:proofErr w:type="gramStart"/>
            <w:r w:rsidRPr="00167EAE">
              <w:rPr>
                <w:rFonts w:ascii="仿宋_GB2312" w:eastAsia="仿宋_GB2312" w:hAnsi="宋体" w:hint="eastAsia"/>
                <w:bCs/>
                <w:sz w:val="24"/>
                <w:szCs w:val="24"/>
              </w:rPr>
              <w:t>方发行</w:t>
            </w:r>
            <w:proofErr w:type="gramEnd"/>
            <w:r w:rsidRPr="00167EAE">
              <w:rPr>
                <w:rFonts w:ascii="仿宋_GB2312" w:eastAsia="仿宋_GB2312" w:hAnsi="宋体" w:hint="eastAsia"/>
                <w:bCs/>
                <w:sz w:val="24"/>
                <w:szCs w:val="24"/>
              </w:rPr>
              <w:t>或承销的证券或金融产品或进行其他关联交易，无需投资人的个别授权，但法律另有规定或本合同另有约定的除外。以上投资行为应按照市场通行的方式和条件参与，公平对待养老金产品财产，投资管理人不得通过关联交易或者其他方式侵害投资人的利益。</w:t>
            </w:r>
          </w:p>
        </w:tc>
      </w:tr>
      <w:tr w:rsidR="00DE486F" w:rsidRPr="00167EAE" w:rsidTr="00557C65">
        <w:trPr>
          <w:jc w:val="center"/>
        </w:trPr>
        <w:tc>
          <w:tcPr>
            <w:tcW w:w="1271" w:type="dxa"/>
            <w:vAlign w:val="center"/>
          </w:tcPr>
          <w:p w:rsidR="00DE486F" w:rsidRPr="00167EAE" w:rsidRDefault="00DE486F" w:rsidP="002F78D0">
            <w:pPr>
              <w:jc w:val="center"/>
              <w:rPr>
                <w:rFonts w:ascii="仿宋_GB2312" w:eastAsia="仿宋_GB2312" w:hAnsi="宋体"/>
                <w:sz w:val="24"/>
                <w:szCs w:val="24"/>
              </w:rPr>
            </w:pPr>
            <w:r w:rsidRPr="00167EAE">
              <w:rPr>
                <w:rFonts w:ascii="仿宋_GB2312" w:eastAsia="仿宋_GB2312" w:hAnsi="宋体" w:hint="eastAsia"/>
                <w:sz w:val="24"/>
                <w:szCs w:val="24"/>
              </w:rPr>
              <w:t>13.4</w:t>
            </w:r>
          </w:p>
        </w:tc>
        <w:tc>
          <w:tcPr>
            <w:tcW w:w="3260" w:type="dxa"/>
            <w:vAlign w:val="center"/>
          </w:tcPr>
          <w:p w:rsidR="00DE486F" w:rsidRPr="00167EAE" w:rsidRDefault="007307D0" w:rsidP="002F78D0">
            <w:pPr>
              <w:rPr>
                <w:rFonts w:ascii="仿宋_GB2312" w:eastAsia="仿宋_GB2312" w:hAnsi="宋体"/>
                <w:bCs/>
                <w:sz w:val="24"/>
                <w:szCs w:val="24"/>
              </w:rPr>
            </w:pPr>
            <w:r w:rsidRPr="00167EAE">
              <w:rPr>
                <w:rFonts w:ascii="仿宋_GB2312" w:eastAsia="仿宋_GB2312" w:hAnsi="宋体" w:hint="eastAsia"/>
                <w:bCs/>
                <w:sz w:val="24"/>
                <w:szCs w:val="24"/>
              </w:rPr>
              <w:t>投资管理人应当按照有关规定，在公司官方网站上向份额持有人提供养老金产品季</w:t>
            </w:r>
            <w:r w:rsidRPr="00167EAE">
              <w:rPr>
                <w:rFonts w:ascii="仿宋_GB2312" w:eastAsia="仿宋_GB2312" w:hAnsi="宋体" w:hint="eastAsia"/>
                <w:bCs/>
                <w:sz w:val="24"/>
                <w:szCs w:val="24"/>
              </w:rPr>
              <w:lastRenderedPageBreak/>
              <w:t>度报告，其中的财务数据须经托管人复核；如发生特殊情况，还应当在公司官方网站上提供临时报告或者进行重大信息披露。季度报告应在每个季度结束之日起15日内编制完毕。上述定期报告提交时限如遇法定节假日可适当顺延。</w:t>
            </w:r>
          </w:p>
        </w:tc>
        <w:tc>
          <w:tcPr>
            <w:tcW w:w="4111" w:type="dxa"/>
            <w:vAlign w:val="center"/>
          </w:tcPr>
          <w:p w:rsidR="00DE486F" w:rsidRPr="00167EAE" w:rsidRDefault="007307D0" w:rsidP="002F78D0">
            <w:pPr>
              <w:rPr>
                <w:rFonts w:ascii="仿宋_GB2312" w:eastAsia="仿宋_GB2312" w:hAnsi="宋体"/>
                <w:bCs/>
                <w:sz w:val="24"/>
                <w:szCs w:val="24"/>
              </w:rPr>
            </w:pPr>
            <w:r w:rsidRPr="00167EAE">
              <w:rPr>
                <w:rFonts w:ascii="仿宋_GB2312" w:eastAsia="仿宋_GB2312" w:hAnsi="宋体" w:hint="eastAsia"/>
                <w:bCs/>
                <w:sz w:val="24"/>
                <w:szCs w:val="24"/>
              </w:rPr>
              <w:lastRenderedPageBreak/>
              <w:t>投资管理人应当按照有关规定，在公司官方网站上向份额持有人提供养老金产品季度报告和年度报告，其</w:t>
            </w:r>
            <w:r w:rsidRPr="00167EAE">
              <w:rPr>
                <w:rFonts w:ascii="仿宋_GB2312" w:eastAsia="仿宋_GB2312" w:hAnsi="宋体" w:hint="eastAsia"/>
                <w:bCs/>
                <w:sz w:val="24"/>
                <w:szCs w:val="24"/>
              </w:rPr>
              <w:lastRenderedPageBreak/>
              <w:t>中的财务数据须经托管人复核；如发生特殊情况，还应当在公司官方网站上提供临时报告或者进行重大信息披露。季度报告应在每个季度结束之日起15日内编制完毕；年度报告应于年度结束后15个工作日内依据监管机构要求完成编制及披露。上述定期报告提交时限如遇法定节假日可适当顺延。</w:t>
            </w:r>
          </w:p>
        </w:tc>
      </w:tr>
      <w:tr w:rsidR="00FB46F3" w:rsidRPr="00167EAE" w:rsidTr="00557C65">
        <w:trPr>
          <w:jc w:val="center"/>
        </w:trPr>
        <w:tc>
          <w:tcPr>
            <w:tcW w:w="1271" w:type="dxa"/>
            <w:vAlign w:val="center"/>
          </w:tcPr>
          <w:p w:rsidR="00FB46F3" w:rsidRPr="00167EAE" w:rsidRDefault="00FB46F3" w:rsidP="002F78D0">
            <w:pPr>
              <w:jc w:val="center"/>
              <w:rPr>
                <w:rFonts w:ascii="仿宋_GB2312" w:eastAsia="仿宋_GB2312" w:hAnsi="宋体"/>
                <w:sz w:val="24"/>
                <w:szCs w:val="24"/>
              </w:rPr>
            </w:pPr>
            <w:r>
              <w:rPr>
                <w:rFonts w:ascii="仿宋_GB2312" w:eastAsia="仿宋_GB2312" w:hAnsi="宋体" w:hint="eastAsia"/>
                <w:sz w:val="24"/>
                <w:szCs w:val="24"/>
              </w:rPr>
              <w:lastRenderedPageBreak/>
              <w:t>15.3</w:t>
            </w:r>
          </w:p>
        </w:tc>
        <w:tc>
          <w:tcPr>
            <w:tcW w:w="3260" w:type="dxa"/>
            <w:vAlign w:val="center"/>
          </w:tcPr>
          <w:p w:rsidR="00FB46F3" w:rsidRPr="00FB46F3" w:rsidRDefault="00FB46F3" w:rsidP="002F78D0">
            <w:pPr>
              <w:rPr>
                <w:rFonts w:ascii="仿宋_GB2312" w:eastAsia="仿宋_GB2312" w:hAnsi="宋体"/>
                <w:bCs/>
                <w:sz w:val="24"/>
                <w:szCs w:val="24"/>
              </w:rPr>
            </w:pPr>
            <w:r>
              <w:rPr>
                <w:rFonts w:ascii="仿宋_GB2312" w:eastAsia="仿宋_GB2312" w:hAnsi="宋体" w:hint="eastAsia"/>
                <w:bCs/>
                <w:sz w:val="24"/>
                <w:szCs w:val="24"/>
              </w:rPr>
              <w:t>投资管理合同及养老金产品的变更</w:t>
            </w:r>
          </w:p>
          <w:p w:rsidR="00FB46F3" w:rsidRPr="00FB46F3" w:rsidRDefault="00FB46F3" w:rsidP="002F78D0">
            <w:pPr>
              <w:rPr>
                <w:rFonts w:ascii="仿宋_GB2312" w:eastAsia="仿宋_GB2312" w:hAnsi="宋体"/>
                <w:bCs/>
                <w:sz w:val="24"/>
                <w:szCs w:val="24"/>
              </w:rPr>
            </w:pPr>
            <w:r w:rsidRPr="00FB46F3">
              <w:rPr>
                <w:rFonts w:ascii="仿宋_GB2312" w:eastAsia="仿宋_GB2312" w:hAnsi="宋体" w:hint="eastAsia"/>
                <w:bCs/>
                <w:sz w:val="24"/>
                <w:szCs w:val="24"/>
              </w:rPr>
              <w:t>投资管理合同生效后，如需变更，须经投资管理人与托管人协商一致并达成书面协议。</w:t>
            </w:r>
          </w:p>
        </w:tc>
        <w:tc>
          <w:tcPr>
            <w:tcW w:w="4111" w:type="dxa"/>
            <w:vAlign w:val="center"/>
          </w:tcPr>
          <w:p w:rsidR="00FB46F3" w:rsidRPr="00FB46F3" w:rsidRDefault="00FB46F3" w:rsidP="002F78D0">
            <w:pPr>
              <w:rPr>
                <w:rFonts w:ascii="仿宋_GB2312" w:eastAsia="仿宋_GB2312" w:hAnsi="宋体"/>
                <w:bCs/>
                <w:sz w:val="24"/>
                <w:szCs w:val="24"/>
              </w:rPr>
            </w:pPr>
            <w:r>
              <w:rPr>
                <w:rFonts w:ascii="仿宋_GB2312" w:eastAsia="仿宋_GB2312" w:hAnsi="宋体" w:hint="eastAsia"/>
                <w:bCs/>
                <w:sz w:val="24"/>
                <w:szCs w:val="24"/>
              </w:rPr>
              <w:t>投资管理合同及养老金产品的变更</w:t>
            </w:r>
          </w:p>
          <w:p w:rsidR="00FB46F3" w:rsidRPr="00167EAE" w:rsidRDefault="00FB46F3" w:rsidP="002F78D0">
            <w:pPr>
              <w:rPr>
                <w:rFonts w:ascii="仿宋_GB2312" w:eastAsia="仿宋_GB2312" w:hAnsi="宋体"/>
                <w:bCs/>
                <w:sz w:val="24"/>
                <w:szCs w:val="24"/>
              </w:rPr>
            </w:pPr>
            <w:r w:rsidRPr="00FB46F3">
              <w:rPr>
                <w:rFonts w:ascii="仿宋_GB2312" w:eastAsia="仿宋_GB2312" w:hAnsi="宋体" w:hint="eastAsia"/>
                <w:bCs/>
                <w:sz w:val="24"/>
                <w:szCs w:val="24"/>
              </w:rPr>
              <w:t>投资管理合同生效后，如需变更，须经投资管理人与托管人协商一致。</w:t>
            </w:r>
          </w:p>
        </w:tc>
      </w:tr>
    </w:tbl>
    <w:p w:rsidR="00B1632A" w:rsidRPr="00000801" w:rsidRDefault="00B1632A" w:rsidP="002F78D0">
      <w:pPr>
        <w:pStyle w:val="Default"/>
        <w:rPr>
          <w:rFonts w:ascii="仿宋_GB2312" w:eastAsia="仿宋_GB2312" w:hAnsi="仿宋"/>
          <w:sz w:val="32"/>
          <w:szCs w:val="32"/>
        </w:rPr>
      </w:pPr>
    </w:p>
    <w:sectPr w:rsidR="00B1632A" w:rsidRPr="00000801" w:rsidSect="002F78D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22A" w:rsidRDefault="005E722A" w:rsidP="00DD7770">
      <w:r>
        <w:separator/>
      </w:r>
    </w:p>
  </w:endnote>
  <w:endnote w:type="continuationSeparator" w:id="0">
    <w:p w:rsidR="005E722A" w:rsidRDefault="005E722A" w:rsidP="00DD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8D0" w:rsidRDefault="002F78D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082620"/>
      <w:docPartObj>
        <w:docPartGallery w:val="Page Numbers (Bottom of Page)"/>
        <w:docPartUnique/>
      </w:docPartObj>
    </w:sdtPr>
    <w:sdtEndPr/>
    <w:sdtContent>
      <w:p w:rsidR="00BF4529" w:rsidRDefault="00D9148E">
        <w:pPr>
          <w:pStyle w:val="a5"/>
          <w:jc w:val="center"/>
        </w:pPr>
        <w:r>
          <w:fldChar w:fldCharType="begin"/>
        </w:r>
        <w:r w:rsidR="00BF4529">
          <w:instrText>PAGE   \* MERGEFORMAT</w:instrText>
        </w:r>
        <w:r>
          <w:fldChar w:fldCharType="separate"/>
        </w:r>
        <w:r w:rsidR="002F78D0" w:rsidRPr="002F78D0">
          <w:rPr>
            <w:noProof/>
            <w:lang w:val="zh-CN"/>
          </w:rPr>
          <w:t>2</w:t>
        </w:r>
        <w:r>
          <w:fldChar w:fldCharType="end"/>
        </w:r>
      </w:p>
    </w:sdtContent>
  </w:sdt>
  <w:p w:rsidR="00BF4529" w:rsidRDefault="00BF452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8D0" w:rsidRDefault="002F78D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22A" w:rsidRDefault="005E722A" w:rsidP="00DD7770">
      <w:r>
        <w:separator/>
      </w:r>
    </w:p>
  </w:footnote>
  <w:footnote w:type="continuationSeparator" w:id="0">
    <w:p w:rsidR="005E722A" w:rsidRDefault="005E722A" w:rsidP="00DD77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8D0" w:rsidRDefault="002F78D0" w:rsidP="002F78D0">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6E" w:rsidRDefault="00E6526E" w:rsidP="002F78D0">
    <w:pPr>
      <w:pStyle w:val="a3"/>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8D0" w:rsidRDefault="002F78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213"/>
  <w:drawingGridVerticalSpacing w:val="317"/>
  <w:displayHorizontalDrawingGridEvery w:val="0"/>
  <w:characterSpacingControl w:val="compressPunctuation"/>
  <w:hdrShapeDefaults>
    <o:shapedefaults v:ext="edit" spidmax="206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70"/>
    <w:rsid w:val="00000801"/>
    <w:rsid w:val="00006A73"/>
    <w:rsid w:val="000262AD"/>
    <w:rsid w:val="000275DD"/>
    <w:rsid w:val="00040268"/>
    <w:rsid w:val="0006094C"/>
    <w:rsid w:val="000642C9"/>
    <w:rsid w:val="000747A6"/>
    <w:rsid w:val="00077788"/>
    <w:rsid w:val="000B38EE"/>
    <w:rsid w:val="000C2452"/>
    <w:rsid w:val="000E12BC"/>
    <w:rsid w:val="000E60B0"/>
    <w:rsid w:val="0010749B"/>
    <w:rsid w:val="00116141"/>
    <w:rsid w:val="001173D2"/>
    <w:rsid w:val="00130E8F"/>
    <w:rsid w:val="00157851"/>
    <w:rsid w:val="00167EAE"/>
    <w:rsid w:val="001739F2"/>
    <w:rsid w:val="001740D9"/>
    <w:rsid w:val="00174835"/>
    <w:rsid w:val="001809DB"/>
    <w:rsid w:val="0018343A"/>
    <w:rsid w:val="0021398A"/>
    <w:rsid w:val="00215115"/>
    <w:rsid w:val="002440DF"/>
    <w:rsid w:val="00247116"/>
    <w:rsid w:val="00263BD5"/>
    <w:rsid w:val="00264DE2"/>
    <w:rsid w:val="002651CE"/>
    <w:rsid w:val="002F78D0"/>
    <w:rsid w:val="00337D10"/>
    <w:rsid w:val="0034774E"/>
    <w:rsid w:val="00363366"/>
    <w:rsid w:val="00371E90"/>
    <w:rsid w:val="003863AF"/>
    <w:rsid w:val="00405120"/>
    <w:rsid w:val="00434041"/>
    <w:rsid w:val="004351FC"/>
    <w:rsid w:val="004476DE"/>
    <w:rsid w:val="00451166"/>
    <w:rsid w:val="0048255A"/>
    <w:rsid w:val="00486512"/>
    <w:rsid w:val="004B212F"/>
    <w:rsid w:val="004C1DF5"/>
    <w:rsid w:val="004C65D8"/>
    <w:rsid w:val="004D248C"/>
    <w:rsid w:val="004D3E4A"/>
    <w:rsid w:val="004E1B67"/>
    <w:rsid w:val="00522E36"/>
    <w:rsid w:val="005442FA"/>
    <w:rsid w:val="00551725"/>
    <w:rsid w:val="00557C65"/>
    <w:rsid w:val="00565FAE"/>
    <w:rsid w:val="005728D6"/>
    <w:rsid w:val="0058659A"/>
    <w:rsid w:val="00586A21"/>
    <w:rsid w:val="00595F9F"/>
    <w:rsid w:val="005B1644"/>
    <w:rsid w:val="005E722A"/>
    <w:rsid w:val="00630B65"/>
    <w:rsid w:val="00641AFF"/>
    <w:rsid w:val="00646503"/>
    <w:rsid w:val="0066211D"/>
    <w:rsid w:val="00663D8A"/>
    <w:rsid w:val="00676245"/>
    <w:rsid w:val="006956F9"/>
    <w:rsid w:val="006B7A4B"/>
    <w:rsid w:val="007307D0"/>
    <w:rsid w:val="0079457E"/>
    <w:rsid w:val="007A53C4"/>
    <w:rsid w:val="00804939"/>
    <w:rsid w:val="00812A21"/>
    <w:rsid w:val="0084109B"/>
    <w:rsid w:val="00845AE8"/>
    <w:rsid w:val="00862E2C"/>
    <w:rsid w:val="00876420"/>
    <w:rsid w:val="00890D14"/>
    <w:rsid w:val="008930A8"/>
    <w:rsid w:val="0089491D"/>
    <w:rsid w:val="008977CE"/>
    <w:rsid w:val="009053D1"/>
    <w:rsid w:val="00915779"/>
    <w:rsid w:val="009A6D40"/>
    <w:rsid w:val="009D02E0"/>
    <w:rsid w:val="009F0573"/>
    <w:rsid w:val="00A30F13"/>
    <w:rsid w:val="00A52336"/>
    <w:rsid w:val="00A5512B"/>
    <w:rsid w:val="00A55518"/>
    <w:rsid w:val="00A617BF"/>
    <w:rsid w:val="00AA067A"/>
    <w:rsid w:val="00AA2E37"/>
    <w:rsid w:val="00B1632A"/>
    <w:rsid w:val="00B16AE2"/>
    <w:rsid w:val="00B23508"/>
    <w:rsid w:val="00BB3845"/>
    <w:rsid w:val="00BC6154"/>
    <w:rsid w:val="00BE3DC9"/>
    <w:rsid w:val="00BE4AA9"/>
    <w:rsid w:val="00BF3FC8"/>
    <w:rsid w:val="00BF4529"/>
    <w:rsid w:val="00C13F8A"/>
    <w:rsid w:val="00C1551B"/>
    <w:rsid w:val="00C23030"/>
    <w:rsid w:val="00C45798"/>
    <w:rsid w:val="00C6083C"/>
    <w:rsid w:val="00CE1713"/>
    <w:rsid w:val="00CF0B82"/>
    <w:rsid w:val="00CF7D0E"/>
    <w:rsid w:val="00D1603E"/>
    <w:rsid w:val="00D24002"/>
    <w:rsid w:val="00D25B87"/>
    <w:rsid w:val="00D279BB"/>
    <w:rsid w:val="00D5013F"/>
    <w:rsid w:val="00D70B65"/>
    <w:rsid w:val="00D72C4C"/>
    <w:rsid w:val="00D7523C"/>
    <w:rsid w:val="00D9148E"/>
    <w:rsid w:val="00DA0200"/>
    <w:rsid w:val="00DA3143"/>
    <w:rsid w:val="00DA34BF"/>
    <w:rsid w:val="00DA797F"/>
    <w:rsid w:val="00DD0CE1"/>
    <w:rsid w:val="00DD17D5"/>
    <w:rsid w:val="00DD7770"/>
    <w:rsid w:val="00DE3F01"/>
    <w:rsid w:val="00DE486F"/>
    <w:rsid w:val="00E00926"/>
    <w:rsid w:val="00E14A13"/>
    <w:rsid w:val="00E153E8"/>
    <w:rsid w:val="00E21324"/>
    <w:rsid w:val="00E37A0E"/>
    <w:rsid w:val="00E6526E"/>
    <w:rsid w:val="00E665D1"/>
    <w:rsid w:val="00E710B7"/>
    <w:rsid w:val="00E77AD7"/>
    <w:rsid w:val="00EA7A5A"/>
    <w:rsid w:val="00EB4C9A"/>
    <w:rsid w:val="00EB4EF7"/>
    <w:rsid w:val="00EB5A0F"/>
    <w:rsid w:val="00EC449F"/>
    <w:rsid w:val="00F86D67"/>
    <w:rsid w:val="00F9694D"/>
    <w:rsid w:val="00FB0987"/>
    <w:rsid w:val="00FB3BFA"/>
    <w:rsid w:val="00FB46F3"/>
    <w:rsid w:val="00FB5B79"/>
    <w:rsid w:val="00FE0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55378798"/>
  <w15:docId w15:val="{3419DE89-64C5-45EC-956C-39826B9D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770"/>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7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D7770"/>
    <w:rPr>
      <w:sz w:val="18"/>
      <w:szCs w:val="18"/>
    </w:rPr>
  </w:style>
  <w:style w:type="paragraph" w:styleId="a5">
    <w:name w:val="footer"/>
    <w:basedOn w:val="a"/>
    <w:link w:val="a6"/>
    <w:uiPriority w:val="99"/>
    <w:unhideWhenUsed/>
    <w:rsid w:val="00DD77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D7770"/>
    <w:rPr>
      <w:sz w:val="18"/>
      <w:szCs w:val="18"/>
    </w:rPr>
  </w:style>
  <w:style w:type="paragraph" w:customStyle="1" w:styleId="Default">
    <w:name w:val="Default"/>
    <w:rsid w:val="00DD7770"/>
    <w:pPr>
      <w:widowControl w:val="0"/>
      <w:autoSpaceDE w:val="0"/>
      <w:autoSpaceDN w:val="0"/>
      <w:adjustRightInd w:val="0"/>
    </w:pPr>
    <w:rPr>
      <w:rFonts w:ascii="宋体" w:eastAsia="宋体" w:hAnsi="Times New Roman" w:cs="宋体"/>
      <w:color w:val="000000"/>
      <w:kern w:val="0"/>
      <w:sz w:val="24"/>
      <w:szCs w:val="24"/>
    </w:rPr>
  </w:style>
  <w:style w:type="paragraph" w:styleId="a7">
    <w:name w:val="Balloon Text"/>
    <w:basedOn w:val="a"/>
    <w:link w:val="a8"/>
    <w:uiPriority w:val="99"/>
    <w:semiHidden/>
    <w:unhideWhenUsed/>
    <w:rsid w:val="001739F2"/>
    <w:rPr>
      <w:sz w:val="18"/>
      <w:szCs w:val="18"/>
    </w:rPr>
  </w:style>
  <w:style w:type="character" w:customStyle="1" w:styleId="a8">
    <w:name w:val="批注框文本 字符"/>
    <w:basedOn w:val="a0"/>
    <w:link w:val="a7"/>
    <w:uiPriority w:val="99"/>
    <w:semiHidden/>
    <w:rsid w:val="001739F2"/>
    <w:rPr>
      <w:rFonts w:ascii="Calibri" w:eastAsia="宋体" w:hAnsi="Calibri" w:cs="黑体"/>
      <w:sz w:val="18"/>
      <w:szCs w:val="18"/>
    </w:rPr>
  </w:style>
  <w:style w:type="character" w:styleId="a9">
    <w:name w:val="annotation reference"/>
    <w:basedOn w:val="a0"/>
    <w:uiPriority w:val="99"/>
    <w:semiHidden/>
    <w:unhideWhenUsed/>
    <w:rsid w:val="0018343A"/>
    <w:rPr>
      <w:sz w:val="21"/>
      <w:szCs w:val="21"/>
    </w:rPr>
  </w:style>
  <w:style w:type="paragraph" w:styleId="aa">
    <w:name w:val="annotation text"/>
    <w:basedOn w:val="a"/>
    <w:link w:val="ab"/>
    <w:uiPriority w:val="99"/>
    <w:semiHidden/>
    <w:unhideWhenUsed/>
    <w:rsid w:val="0018343A"/>
    <w:pPr>
      <w:jc w:val="left"/>
    </w:pPr>
  </w:style>
  <w:style w:type="character" w:customStyle="1" w:styleId="ab">
    <w:name w:val="批注文字 字符"/>
    <w:basedOn w:val="a0"/>
    <w:link w:val="aa"/>
    <w:uiPriority w:val="99"/>
    <w:semiHidden/>
    <w:rsid w:val="0018343A"/>
    <w:rPr>
      <w:rFonts w:ascii="Calibri" w:eastAsia="宋体" w:hAnsi="Calibri" w:cs="黑体"/>
    </w:rPr>
  </w:style>
  <w:style w:type="paragraph" w:styleId="ac">
    <w:name w:val="annotation subject"/>
    <w:basedOn w:val="aa"/>
    <w:next w:val="aa"/>
    <w:link w:val="ad"/>
    <w:uiPriority w:val="99"/>
    <w:semiHidden/>
    <w:unhideWhenUsed/>
    <w:rsid w:val="0018343A"/>
    <w:rPr>
      <w:b/>
      <w:bCs/>
    </w:rPr>
  </w:style>
  <w:style w:type="character" w:customStyle="1" w:styleId="ad">
    <w:name w:val="批注主题 字符"/>
    <w:basedOn w:val="ab"/>
    <w:link w:val="ac"/>
    <w:uiPriority w:val="99"/>
    <w:semiHidden/>
    <w:rsid w:val="0018343A"/>
    <w:rPr>
      <w:rFonts w:ascii="Calibri" w:eastAsia="宋体" w:hAnsi="Calibri" w:cs="黑体"/>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A4113-7277-495E-AA54-A5897F90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养老金管理部-朱智慧</dc:creator>
  <cp:lastModifiedBy>机构业务运营部-罗媛媛</cp:lastModifiedBy>
  <cp:revision>3</cp:revision>
  <cp:lastPrinted>2019-09-19T07:40:00Z</cp:lastPrinted>
  <dcterms:created xsi:type="dcterms:W3CDTF">2020-01-21T07:34:00Z</dcterms:created>
  <dcterms:modified xsi:type="dcterms:W3CDTF">2020-01-21T07:34:00Z</dcterms:modified>
</cp:coreProperties>
</file>