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非交易过户是指不采用申购、赎回等基金交易方式，将一定数量的基金份额按照一定规则从某一投资者基金账户转移到另一投资者基金账户的行为，包括继承、捐赠、遗赠、强制执行及登记结算机构认可的、符合法律法规的其他行为。</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因</w:t>
      </w:r>
      <w:r w:rsidRPr="00701AC4">
        <w:rPr>
          <w:rFonts w:hint="eastAsia"/>
          <w:b/>
          <w:color w:val="333333"/>
          <w:sz w:val="21"/>
          <w:szCs w:val="21"/>
        </w:rPr>
        <w:t>遗产继承</w:t>
      </w:r>
      <w:r w:rsidR="0086696C" w:rsidRPr="00701AC4">
        <w:rPr>
          <w:rFonts w:hint="eastAsia"/>
          <w:b/>
          <w:color w:val="333333"/>
          <w:sz w:val="21"/>
          <w:szCs w:val="21"/>
        </w:rPr>
        <w:t>、</w:t>
      </w:r>
      <w:r w:rsidR="0086696C" w:rsidRPr="00701AC4">
        <w:rPr>
          <w:b/>
          <w:color w:val="333333"/>
          <w:sz w:val="21"/>
          <w:szCs w:val="21"/>
        </w:rPr>
        <w:t>司法判决</w:t>
      </w:r>
      <w:r w:rsidRPr="00130D50">
        <w:rPr>
          <w:rFonts w:hint="eastAsia"/>
          <w:color w:val="333333"/>
          <w:sz w:val="21"/>
          <w:szCs w:val="21"/>
        </w:rPr>
        <w:t>办理</w:t>
      </w:r>
      <w:r w:rsidR="00726562" w:rsidRPr="00130D50">
        <w:rPr>
          <w:rFonts w:hint="eastAsia"/>
          <w:color w:val="333333"/>
          <w:sz w:val="21"/>
          <w:szCs w:val="21"/>
        </w:rPr>
        <w:t>华夏基金</w:t>
      </w:r>
      <w:r w:rsidR="00726562" w:rsidRPr="00130D50">
        <w:rPr>
          <w:color w:val="333333"/>
          <w:sz w:val="21"/>
          <w:szCs w:val="21"/>
        </w:rPr>
        <w:t>03</w:t>
      </w:r>
      <w:r w:rsidR="00726562" w:rsidRPr="00130D50">
        <w:rPr>
          <w:rFonts w:hint="eastAsia"/>
          <w:color w:val="333333"/>
          <w:sz w:val="21"/>
          <w:szCs w:val="21"/>
        </w:rPr>
        <w:t>账户内基金</w:t>
      </w:r>
      <w:r w:rsidR="00726562" w:rsidRPr="00130D50">
        <w:rPr>
          <w:color w:val="333333"/>
          <w:sz w:val="21"/>
          <w:szCs w:val="21"/>
        </w:rPr>
        <w:t>份额的</w:t>
      </w:r>
      <w:r w:rsidRPr="00130D50">
        <w:rPr>
          <w:rFonts w:hint="eastAsia"/>
          <w:color w:val="333333"/>
          <w:sz w:val="21"/>
          <w:szCs w:val="21"/>
        </w:rPr>
        <w:t>非交易过户，需提供以下资料:</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1、受让人身份证明文件（复印件）、出让人身份证明文件（复印件）</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2、公证书、法律文书（原件）</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3、送达回证或生效证明（复印件）</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4、《非交易过户申请表》</w:t>
      </w:r>
      <w:r w:rsidR="0078795E" w:rsidRPr="00130D50">
        <w:rPr>
          <w:rFonts w:hint="eastAsia"/>
          <w:color w:val="333333"/>
          <w:sz w:val="21"/>
          <w:szCs w:val="21"/>
        </w:rPr>
        <w:t>（原件）</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5、亲属关系证明（复印件）</w:t>
      </w:r>
    </w:p>
    <w:p w:rsidR="00AC1234"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6、出让人死亡证明（复印件）</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bCs/>
          <w:sz w:val="21"/>
          <w:szCs w:val="21"/>
        </w:rPr>
        <w:t>上述材料中</w:t>
      </w:r>
      <w:r w:rsidRPr="00130D50">
        <w:rPr>
          <w:rFonts w:hint="eastAsia"/>
          <w:b/>
          <w:bCs/>
          <w:sz w:val="21"/>
          <w:szCs w:val="21"/>
        </w:rPr>
        <w:t>必须提交</w:t>
      </w:r>
      <w:r w:rsidRPr="00130D50">
        <w:rPr>
          <w:rFonts w:hint="eastAsia"/>
          <w:bCs/>
          <w:sz w:val="21"/>
          <w:szCs w:val="21"/>
        </w:rPr>
        <w:t>的材料为：</w:t>
      </w:r>
    </w:p>
    <w:p w:rsidR="00CE77D2" w:rsidRPr="00130D50" w:rsidRDefault="0086696C" w:rsidP="00130D50">
      <w:pPr>
        <w:pStyle w:val="a6"/>
        <w:adjustRightInd w:val="0"/>
        <w:snapToGrid w:val="0"/>
        <w:spacing w:line="360" w:lineRule="auto"/>
        <w:ind w:firstLineChars="200" w:firstLine="420"/>
        <w:rPr>
          <w:color w:val="333333"/>
          <w:sz w:val="21"/>
          <w:szCs w:val="21"/>
        </w:rPr>
      </w:pPr>
      <w:r w:rsidRPr="00130D50">
        <w:rPr>
          <w:rFonts w:hint="eastAsia"/>
          <w:bCs/>
          <w:sz w:val="21"/>
          <w:szCs w:val="21"/>
        </w:rPr>
        <w:t>1</w:t>
      </w:r>
      <w:r w:rsidR="00CE77D2" w:rsidRPr="00130D50">
        <w:rPr>
          <w:rFonts w:hint="eastAsia"/>
          <w:bCs/>
          <w:sz w:val="21"/>
          <w:szCs w:val="21"/>
        </w:rPr>
        <w:t>、 受让人身份证明文件（复印件）、出让人身份证明文件（复印件）</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身份证明文件包括：身份证、军官证、户口本等，按顺序优先接受。</w:t>
      </w:r>
    </w:p>
    <w:p w:rsidR="00CE77D2" w:rsidRPr="00130D50" w:rsidRDefault="0086696C" w:rsidP="00130D50">
      <w:pPr>
        <w:pStyle w:val="a6"/>
        <w:adjustRightInd w:val="0"/>
        <w:snapToGrid w:val="0"/>
        <w:spacing w:line="360" w:lineRule="auto"/>
        <w:ind w:firstLineChars="200" w:firstLine="420"/>
        <w:rPr>
          <w:color w:val="333333"/>
          <w:sz w:val="21"/>
          <w:szCs w:val="21"/>
        </w:rPr>
      </w:pPr>
      <w:r w:rsidRPr="00130D50">
        <w:rPr>
          <w:bCs/>
          <w:sz w:val="21"/>
          <w:szCs w:val="21"/>
        </w:rPr>
        <w:t>2</w:t>
      </w:r>
      <w:r w:rsidR="00CE77D2" w:rsidRPr="00130D50">
        <w:rPr>
          <w:rFonts w:hint="eastAsia"/>
          <w:bCs/>
          <w:sz w:val="21"/>
          <w:szCs w:val="21"/>
        </w:rPr>
        <w:t>、 公证书、法律文书（原件）</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公证书、法律文书（法院判决书或民事调解书）应载明出让人和受让人的姓名、证件号码、亲属关系、遗产名称、遗产的分配等，其中应注明具体的基金产品名称、持有份额（注意单位为“份”，而不是“元”）、明确的份额持有截止日期，所有有权继承的受让人都需包含在内，同时在公证书上注明“上述基金及其分红均归某某所有”或类似表述，以避免公证后发生基金分红所造成的歧义。</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注：</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有关继承的公证书原件（包括各种形式的遗嘱公证、遗赠扶养协议公证、全体合法继承人签署的遗产分割协议公证等）或法院、仲裁机构就遗产分割出具的法律文书的原件及复印件。（除非您要求寄回，否则我司会保留原件。）</w:t>
      </w:r>
    </w:p>
    <w:p w:rsidR="00CE77D2" w:rsidRPr="00130D50" w:rsidRDefault="00CE77D2" w:rsidP="00701AC4">
      <w:pPr>
        <w:pStyle w:val="a6"/>
        <w:adjustRightInd w:val="0"/>
        <w:snapToGrid w:val="0"/>
        <w:spacing w:line="360" w:lineRule="auto"/>
        <w:ind w:firstLineChars="200" w:firstLine="420"/>
        <w:rPr>
          <w:color w:val="333333"/>
          <w:sz w:val="21"/>
          <w:szCs w:val="21"/>
        </w:rPr>
      </w:pPr>
      <w:r w:rsidRPr="00130D50">
        <w:rPr>
          <w:rFonts w:hint="eastAsia"/>
          <w:bCs/>
          <w:sz w:val="21"/>
          <w:szCs w:val="21"/>
        </w:rPr>
        <w:lastRenderedPageBreak/>
        <w:t xml:space="preserve">3、 送达回证或生效证明（复印件） </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民事调解书需要附加提供送达回证或生效证明；法院判决书如为初审判决，则需附加提供生效证明，终审判决书则不需要提供附加材料。提供公证书的客户无需提供此材料。</w:t>
      </w:r>
    </w:p>
    <w:p w:rsidR="0086696C" w:rsidRPr="00130D50" w:rsidRDefault="0086696C"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注：</w:t>
      </w:r>
    </w:p>
    <w:p w:rsidR="0086696C" w:rsidRPr="00130D50" w:rsidRDefault="0086696C"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①离婚判决涉及的资料：双方身份证复印件、双方开户确认书、结婚证或户口本复印件、法院判决书原件（可寄回）。</w:t>
      </w:r>
    </w:p>
    <w:p w:rsidR="0086696C" w:rsidRPr="00130D50" w:rsidRDefault="0086696C"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②当事人为机构投资者应提交企业法人营业执照或组织机构代码证及加盖公章的复印件，还应提供法定代表人对授权办理业务人员的授权委托书、授权办理业务人员的有效身份证件</w:t>
      </w:r>
      <w:r w:rsidRPr="00130D50">
        <w:rPr>
          <w:color w:val="333333"/>
          <w:sz w:val="21"/>
          <w:szCs w:val="21"/>
        </w:rPr>
        <w:t>。</w:t>
      </w:r>
    </w:p>
    <w:p w:rsidR="00CE77D2" w:rsidRPr="00130D50" w:rsidRDefault="00CE77D2" w:rsidP="00130D50">
      <w:pPr>
        <w:pStyle w:val="a6"/>
        <w:adjustRightInd w:val="0"/>
        <w:snapToGrid w:val="0"/>
        <w:spacing w:line="360" w:lineRule="auto"/>
        <w:ind w:firstLineChars="200" w:firstLine="420"/>
        <w:rPr>
          <w:bCs/>
          <w:sz w:val="21"/>
          <w:szCs w:val="21"/>
        </w:rPr>
      </w:pPr>
      <w:r w:rsidRPr="00130D50">
        <w:rPr>
          <w:rFonts w:hint="eastAsia"/>
          <w:bCs/>
          <w:sz w:val="21"/>
          <w:szCs w:val="21"/>
        </w:rPr>
        <w:t>4、《非交易过户申请表》</w:t>
      </w:r>
      <w:r w:rsidR="0078795E" w:rsidRPr="00130D50">
        <w:rPr>
          <w:rFonts w:hint="eastAsia"/>
          <w:bCs/>
          <w:sz w:val="21"/>
          <w:szCs w:val="21"/>
        </w:rPr>
        <w:t>（原件）</w:t>
      </w:r>
    </w:p>
    <w:p w:rsidR="0078795E" w:rsidRPr="00130D50" w:rsidRDefault="0078795E" w:rsidP="00130D50">
      <w:pPr>
        <w:pStyle w:val="a6"/>
        <w:adjustRightInd w:val="0"/>
        <w:snapToGrid w:val="0"/>
        <w:spacing w:line="360" w:lineRule="auto"/>
        <w:ind w:firstLineChars="200" w:firstLine="420"/>
        <w:rPr>
          <w:bCs/>
          <w:sz w:val="21"/>
          <w:szCs w:val="21"/>
        </w:rPr>
      </w:pPr>
      <w:r w:rsidRPr="00130D50">
        <w:rPr>
          <w:rFonts w:hint="eastAsia"/>
          <w:bCs/>
          <w:sz w:val="21"/>
          <w:szCs w:val="21"/>
        </w:rPr>
        <w:t>如申请人与受让人并非同一人（他人为受让人代办），需补充提供如下资料：</w:t>
      </w:r>
    </w:p>
    <w:p w:rsidR="00D642BE" w:rsidRPr="00130D50" w:rsidRDefault="00EC3A55"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①</w:t>
      </w:r>
      <w:r w:rsidR="004D6E1C" w:rsidRPr="00130D50">
        <w:rPr>
          <w:rFonts w:hint="eastAsia"/>
          <w:color w:val="333333"/>
          <w:sz w:val="21"/>
          <w:szCs w:val="21"/>
        </w:rPr>
        <w:t>申请人的身份证明文件复印件；</w:t>
      </w:r>
    </w:p>
    <w:p w:rsidR="0078795E" w:rsidRPr="00130D50" w:rsidRDefault="0078795E"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②受让人出具的书面授权委托书（此委托书不强制要求公证），其中需载明授权的内容，授权的时限，被授权人的信息（姓名、身份证号码等）以及受让人签名、签章等。</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bCs/>
          <w:sz w:val="21"/>
          <w:szCs w:val="21"/>
        </w:rPr>
        <w:t>如1、2、3</w:t>
      </w:r>
      <w:r w:rsidR="00AC1234" w:rsidRPr="00130D50">
        <w:rPr>
          <w:rFonts w:hint="eastAsia"/>
          <w:bCs/>
          <w:sz w:val="21"/>
          <w:szCs w:val="21"/>
        </w:rPr>
        <w:t>项资料中不能体现亲属关系与死亡证明，则</w:t>
      </w:r>
      <w:r w:rsidRPr="00130D50">
        <w:rPr>
          <w:rFonts w:hint="eastAsia"/>
          <w:bCs/>
          <w:sz w:val="21"/>
          <w:szCs w:val="21"/>
        </w:rPr>
        <w:t>须提供以下</w:t>
      </w:r>
      <w:r w:rsidR="00AC1234" w:rsidRPr="00130D50">
        <w:rPr>
          <w:rFonts w:hint="eastAsia"/>
          <w:b/>
          <w:bCs/>
          <w:sz w:val="21"/>
          <w:szCs w:val="21"/>
        </w:rPr>
        <w:t>辅助</w:t>
      </w:r>
      <w:r w:rsidRPr="00130D50">
        <w:rPr>
          <w:rFonts w:hint="eastAsia"/>
          <w:b/>
          <w:bCs/>
          <w:sz w:val="21"/>
          <w:szCs w:val="21"/>
        </w:rPr>
        <w:t>资料</w:t>
      </w:r>
      <w:r w:rsidRPr="00130D50">
        <w:rPr>
          <w:rFonts w:hint="eastAsia"/>
          <w:color w:val="333333"/>
          <w:sz w:val="21"/>
          <w:szCs w:val="21"/>
        </w:rPr>
        <w:t>：</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bCs/>
          <w:sz w:val="21"/>
          <w:szCs w:val="21"/>
        </w:rPr>
        <w:t>5、亲属关系证明（复印件）</w:t>
      </w:r>
    </w:p>
    <w:p w:rsidR="0086696C"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公证书、法律文书没有说明出让人与受让人亲属关系的需要提供亲属关系证明，包括：户口本复印件（针对受让人与出让人的户口在同一本户口本上，通过户口本中“与户主关系”一栏可以判断其亲属关系。需要户口本首页即户主页、受让人和出让人各自一页，共三页）、结婚证复印件、派出所出具的户籍证明，街道办事处或单位提供的亲属关系证明等。</w:t>
      </w:r>
    </w:p>
    <w:p w:rsidR="00CE77D2" w:rsidRPr="00130D50" w:rsidRDefault="00CE77D2" w:rsidP="00130D50">
      <w:pPr>
        <w:pStyle w:val="a6"/>
        <w:adjustRightInd w:val="0"/>
        <w:snapToGrid w:val="0"/>
        <w:spacing w:line="360" w:lineRule="auto"/>
        <w:ind w:firstLineChars="200" w:firstLine="420"/>
        <w:rPr>
          <w:color w:val="333333"/>
          <w:sz w:val="21"/>
          <w:szCs w:val="21"/>
        </w:rPr>
      </w:pPr>
      <w:r w:rsidRPr="00130D50">
        <w:rPr>
          <w:rFonts w:hint="eastAsia"/>
          <w:bCs/>
          <w:sz w:val="21"/>
          <w:szCs w:val="21"/>
        </w:rPr>
        <w:t>6、出让人死亡证明（复印件）</w:t>
      </w:r>
    </w:p>
    <w:p w:rsidR="00CE77D2" w:rsidRPr="00130D50" w:rsidRDefault="00CE77D2" w:rsidP="00130D50">
      <w:pPr>
        <w:pStyle w:val="a6"/>
        <w:adjustRightInd w:val="0"/>
        <w:snapToGrid w:val="0"/>
        <w:spacing w:line="360" w:lineRule="auto"/>
        <w:ind w:firstLineChars="200" w:firstLine="420"/>
        <w:rPr>
          <w:color w:val="333333"/>
          <w:sz w:val="21"/>
          <w:szCs w:val="21"/>
        </w:rPr>
      </w:pPr>
      <w:bookmarkStart w:id="0" w:name="_GoBack"/>
      <w:bookmarkEnd w:id="0"/>
      <w:r w:rsidRPr="00130D50">
        <w:rPr>
          <w:rFonts w:hint="eastAsia"/>
          <w:color w:val="333333"/>
          <w:sz w:val="21"/>
          <w:szCs w:val="21"/>
        </w:rPr>
        <w:t>公证书、法律文书没有说明出让人死亡信息的需要提供死亡证明，包括：医院开立的死亡证明、派出所开立的销户证明、火化证明、公安机关的死亡证明等，以上材料均需至少包含姓名、身份证号码等关键信息。</w:t>
      </w:r>
    </w:p>
    <w:p w:rsidR="00D642BE" w:rsidRPr="00130D50" w:rsidRDefault="00D642BE" w:rsidP="00130D50">
      <w:pPr>
        <w:pStyle w:val="a6"/>
        <w:adjustRightInd w:val="0"/>
        <w:snapToGrid w:val="0"/>
        <w:spacing w:line="360" w:lineRule="auto"/>
        <w:ind w:firstLineChars="200" w:firstLine="420"/>
        <w:rPr>
          <w:color w:val="333333"/>
          <w:sz w:val="21"/>
          <w:szCs w:val="21"/>
        </w:rPr>
      </w:pPr>
    </w:p>
    <w:p w:rsidR="001416EC" w:rsidRPr="00130D50" w:rsidRDefault="001416EC"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注</w:t>
      </w:r>
      <w:r w:rsidRPr="00130D50">
        <w:rPr>
          <w:color w:val="333333"/>
          <w:sz w:val="21"/>
          <w:szCs w:val="21"/>
        </w:rPr>
        <w:t>：</w:t>
      </w:r>
    </w:p>
    <w:p w:rsidR="004D6E1C" w:rsidRPr="00130D50" w:rsidRDefault="004D6E1C" w:rsidP="00130D50">
      <w:pPr>
        <w:pStyle w:val="a6"/>
        <w:adjustRightInd w:val="0"/>
        <w:snapToGrid w:val="0"/>
        <w:spacing w:line="360" w:lineRule="auto"/>
        <w:ind w:firstLineChars="200" w:firstLine="420"/>
        <w:rPr>
          <w:color w:val="333333"/>
          <w:sz w:val="21"/>
          <w:szCs w:val="21"/>
        </w:rPr>
      </w:pPr>
      <w:r w:rsidRPr="00130D50">
        <w:rPr>
          <w:rFonts w:hint="eastAsia"/>
          <w:color w:val="333333"/>
          <w:sz w:val="21"/>
          <w:szCs w:val="21"/>
        </w:rPr>
        <w:t>①</w:t>
      </w:r>
      <w:r w:rsidR="001416EC" w:rsidRPr="00130D50">
        <w:rPr>
          <w:rFonts w:hint="eastAsia"/>
          <w:color w:val="333333"/>
          <w:sz w:val="21"/>
          <w:szCs w:val="21"/>
        </w:rPr>
        <w:t>此</w:t>
      </w:r>
      <w:r w:rsidR="001416EC" w:rsidRPr="00130D50">
        <w:rPr>
          <w:color w:val="333333"/>
          <w:sz w:val="21"/>
          <w:szCs w:val="21"/>
        </w:rPr>
        <w:t>业务说明仅</w:t>
      </w:r>
      <w:r w:rsidR="001416EC" w:rsidRPr="00130D50">
        <w:rPr>
          <w:rFonts w:hint="eastAsia"/>
          <w:color w:val="333333"/>
          <w:sz w:val="21"/>
          <w:szCs w:val="21"/>
        </w:rPr>
        <w:t>适用于华夏基金</w:t>
      </w:r>
      <w:r w:rsidR="001416EC" w:rsidRPr="00130D50">
        <w:rPr>
          <w:color w:val="333333"/>
          <w:sz w:val="21"/>
          <w:szCs w:val="21"/>
        </w:rPr>
        <w:t>03</w:t>
      </w:r>
      <w:r w:rsidR="001416EC" w:rsidRPr="00130D50">
        <w:rPr>
          <w:rFonts w:hint="eastAsia"/>
          <w:color w:val="333333"/>
          <w:sz w:val="21"/>
          <w:szCs w:val="21"/>
        </w:rPr>
        <w:t>账户的过户业务；</w:t>
      </w:r>
    </w:p>
    <w:p w:rsidR="00CE77D2" w:rsidRPr="00130D50" w:rsidRDefault="001416EC" w:rsidP="00130D50">
      <w:pPr>
        <w:pStyle w:val="a6"/>
        <w:adjustRightInd w:val="0"/>
        <w:snapToGrid w:val="0"/>
        <w:spacing w:line="360" w:lineRule="auto"/>
        <w:ind w:firstLineChars="200" w:firstLine="420"/>
        <w:rPr>
          <w:sz w:val="21"/>
          <w:szCs w:val="21"/>
        </w:rPr>
      </w:pPr>
      <w:r w:rsidRPr="00130D50">
        <w:rPr>
          <w:rFonts w:hint="eastAsia"/>
          <w:color w:val="333333"/>
          <w:sz w:val="21"/>
          <w:szCs w:val="21"/>
        </w:rPr>
        <w:t>②</w:t>
      </w:r>
      <w:r w:rsidR="00CE77D2" w:rsidRPr="00130D50">
        <w:rPr>
          <w:rFonts w:hint="eastAsia"/>
          <w:color w:val="333333"/>
          <w:sz w:val="21"/>
          <w:szCs w:val="21"/>
        </w:rPr>
        <w:t>如果您在寄送资料前不确定资料是否合规，也可先将资料发扫描件或者邮件（照片形式）至邮箱service@chinaamc.com进行确认，确认后再进行邮寄。收到符合要求的申请材料后，一般将在2个月左右时间内办理非交易过户所涉及的基金份额过户，完成后将</w:t>
      </w:r>
      <w:r w:rsidRPr="00130D50">
        <w:rPr>
          <w:rFonts w:hint="eastAsia"/>
          <w:color w:val="333333"/>
          <w:sz w:val="21"/>
          <w:szCs w:val="21"/>
        </w:rPr>
        <w:t>短信或</w:t>
      </w:r>
      <w:r w:rsidRPr="00130D50">
        <w:rPr>
          <w:color w:val="333333"/>
          <w:sz w:val="21"/>
          <w:szCs w:val="21"/>
        </w:rPr>
        <w:t>电话</w:t>
      </w:r>
      <w:r w:rsidR="00CE77D2" w:rsidRPr="00130D50">
        <w:rPr>
          <w:rFonts w:hint="eastAsia"/>
          <w:color w:val="333333"/>
          <w:sz w:val="21"/>
          <w:szCs w:val="21"/>
        </w:rPr>
        <w:t>通知客户办理结果。</w:t>
      </w:r>
    </w:p>
    <w:sectPr w:rsidR="00CE77D2" w:rsidRPr="00130D50" w:rsidSect="00FD25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76" w:rsidRDefault="006B6976" w:rsidP="00CE77D2">
      <w:r>
        <w:separator/>
      </w:r>
    </w:p>
  </w:endnote>
  <w:endnote w:type="continuationSeparator" w:id="1">
    <w:p w:rsidR="006B6976" w:rsidRDefault="006B6976" w:rsidP="00CE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76" w:rsidRDefault="006B6976" w:rsidP="00CE77D2">
      <w:r>
        <w:separator/>
      </w:r>
    </w:p>
  </w:footnote>
  <w:footnote w:type="continuationSeparator" w:id="1">
    <w:p w:rsidR="006B6976" w:rsidRDefault="006B6976" w:rsidP="00CE7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617"/>
    <w:multiLevelType w:val="hybridMultilevel"/>
    <w:tmpl w:val="A6FEF1EA"/>
    <w:lvl w:ilvl="0" w:tplc="8D1CE0B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B22429"/>
    <w:multiLevelType w:val="hybridMultilevel"/>
    <w:tmpl w:val="26E6BEBA"/>
    <w:lvl w:ilvl="0" w:tplc="CC9E3E5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71354B"/>
    <w:multiLevelType w:val="hybridMultilevel"/>
    <w:tmpl w:val="5F3C1492"/>
    <w:lvl w:ilvl="0" w:tplc="733ADED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0150E0"/>
    <w:multiLevelType w:val="hybridMultilevel"/>
    <w:tmpl w:val="87EAB4C8"/>
    <w:lvl w:ilvl="0" w:tplc="6AB2889E">
      <w:start w:val="1"/>
      <w:numFmt w:val="decimalEnclosedCircle"/>
      <w:lvlText w:val="%1"/>
      <w:lvlJc w:val="left"/>
      <w:pPr>
        <w:ind w:left="720" w:hanging="360"/>
      </w:pPr>
      <w:rPr>
        <w:rFonts w:ascii="宋体"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2BF57EB"/>
    <w:multiLevelType w:val="hybridMultilevel"/>
    <w:tmpl w:val="ED127854"/>
    <w:lvl w:ilvl="0" w:tplc="3B58F0D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4704B46"/>
    <w:multiLevelType w:val="hybridMultilevel"/>
    <w:tmpl w:val="C1E650AC"/>
    <w:lvl w:ilvl="0" w:tplc="1F44D4F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BCA4F77"/>
    <w:multiLevelType w:val="hybridMultilevel"/>
    <w:tmpl w:val="C1963A5E"/>
    <w:lvl w:ilvl="0" w:tplc="9D122632">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5A70F82"/>
    <w:multiLevelType w:val="hybridMultilevel"/>
    <w:tmpl w:val="148EEB4C"/>
    <w:lvl w:ilvl="0" w:tplc="0E7888B6">
      <w:start w:val="1"/>
      <w:numFmt w:val="decimalEnclosedCircle"/>
      <w:lvlText w:val="%1"/>
      <w:lvlJc w:val="left"/>
      <w:pPr>
        <w:ind w:left="840" w:hanging="360"/>
      </w:pPr>
      <w:rPr>
        <w:rFonts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52E3378"/>
    <w:multiLevelType w:val="hybridMultilevel"/>
    <w:tmpl w:val="D1C8A67C"/>
    <w:lvl w:ilvl="0" w:tplc="B70E1E5A">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7"/>
  </w:num>
  <w:num w:numId="3">
    <w:abstractNumId w:val="1"/>
  </w:num>
  <w:num w:numId="4">
    <w:abstractNumId w:val="4"/>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ED3"/>
    <w:rsid w:val="00130D50"/>
    <w:rsid w:val="001416EC"/>
    <w:rsid w:val="00360ED3"/>
    <w:rsid w:val="004D6E1C"/>
    <w:rsid w:val="006B6976"/>
    <w:rsid w:val="00701AC4"/>
    <w:rsid w:val="00726562"/>
    <w:rsid w:val="0078795E"/>
    <w:rsid w:val="0086696C"/>
    <w:rsid w:val="0095435E"/>
    <w:rsid w:val="00971F04"/>
    <w:rsid w:val="00AC1234"/>
    <w:rsid w:val="00B84E1C"/>
    <w:rsid w:val="00C97084"/>
    <w:rsid w:val="00CE77D2"/>
    <w:rsid w:val="00D6275E"/>
    <w:rsid w:val="00D642BE"/>
    <w:rsid w:val="00EB0823"/>
    <w:rsid w:val="00EC3A55"/>
    <w:rsid w:val="00F045E2"/>
    <w:rsid w:val="00FD2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D2"/>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7D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E77D2"/>
    <w:rPr>
      <w:sz w:val="18"/>
      <w:szCs w:val="18"/>
    </w:rPr>
  </w:style>
  <w:style w:type="paragraph" w:styleId="a4">
    <w:name w:val="footer"/>
    <w:basedOn w:val="a"/>
    <w:link w:val="Char0"/>
    <w:uiPriority w:val="99"/>
    <w:unhideWhenUsed/>
    <w:rsid w:val="00CE77D2"/>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E77D2"/>
    <w:rPr>
      <w:sz w:val="18"/>
      <w:szCs w:val="18"/>
    </w:rPr>
  </w:style>
  <w:style w:type="character" w:styleId="a5">
    <w:name w:val="Hyperlink"/>
    <w:basedOn w:val="a0"/>
    <w:uiPriority w:val="99"/>
    <w:semiHidden/>
    <w:unhideWhenUsed/>
    <w:rsid w:val="00CE77D2"/>
    <w:rPr>
      <w:color w:val="0000FF"/>
      <w:u w:val="single"/>
    </w:rPr>
  </w:style>
  <w:style w:type="paragraph" w:styleId="a6">
    <w:name w:val="Normal (Web)"/>
    <w:basedOn w:val="a"/>
    <w:uiPriority w:val="99"/>
    <w:unhideWhenUsed/>
    <w:rsid w:val="00CE77D2"/>
    <w:pPr>
      <w:spacing w:before="100" w:beforeAutospacing="1" w:after="100" w:afterAutospacing="1"/>
      <w:jc w:val="left"/>
    </w:pPr>
    <w:rPr>
      <w:rFonts w:ascii="宋体" w:hAnsi="宋体"/>
      <w:sz w:val="24"/>
      <w:szCs w:val="24"/>
    </w:rPr>
  </w:style>
  <w:style w:type="character" w:styleId="a7">
    <w:name w:val="Strong"/>
    <w:basedOn w:val="a0"/>
    <w:uiPriority w:val="22"/>
    <w:qFormat/>
    <w:rsid w:val="00CE77D2"/>
    <w:rPr>
      <w:b/>
      <w:bCs/>
    </w:rPr>
  </w:style>
  <w:style w:type="paragraph" w:styleId="a8">
    <w:name w:val="List Paragraph"/>
    <w:basedOn w:val="a"/>
    <w:uiPriority w:val="34"/>
    <w:qFormat/>
    <w:rsid w:val="001416EC"/>
    <w:pPr>
      <w:ind w:firstLineChars="200" w:firstLine="420"/>
    </w:pPr>
  </w:style>
</w:styles>
</file>

<file path=word/webSettings.xml><?xml version="1.0" encoding="utf-8"?>
<w:webSettings xmlns:r="http://schemas.openxmlformats.org/officeDocument/2006/relationships" xmlns:w="http://schemas.openxmlformats.org/wordprocessingml/2006/main">
  <w:divs>
    <w:div w:id="320158244">
      <w:bodyDiv w:val="1"/>
      <w:marLeft w:val="0"/>
      <w:marRight w:val="0"/>
      <w:marTop w:val="390"/>
      <w:marBottom w:val="0"/>
      <w:divBdr>
        <w:top w:val="none" w:sz="0" w:space="0" w:color="auto"/>
        <w:left w:val="none" w:sz="0" w:space="0" w:color="auto"/>
        <w:bottom w:val="none" w:sz="0" w:space="0" w:color="auto"/>
        <w:right w:val="none" w:sz="0" w:space="0" w:color="auto"/>
      </w:divBdr>
      <w:divsChild>
        <w:div w:id="1778482652">
          <w:marLeft w:val="0"/>
          <w:marRight w:val="0"/>
          <w:marTop w:val="0"/>
          <w:marBottom w:val="180"/>
          <w:divBdr>
            <w:top w:val="none" w:sz="0" w:space="0" w:color="auto"/>
            <w:left w:val="none" w:sz="0" w:space="0" w:color="auto"/>
            <w:bottom w:val="none" w:sz="0" w:space="0" w:color="auto"/>
            <w:right w:val="none" w:sz="0" w:space="0" w:color="auto"/>
          </w:divBdr>
          <w:divsChild>
            <w:div w:id="10230980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5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222</Words>
  <Characters>1268</Characters>
  <Application>Microsoft Office Word</Application>
  <DocSecurity>0</DocSecurity>
  <Lines>10</Lines>
  <Paragraphs>2</Paragraphs>
  <ScaleCrop>false</ScaleCrop>
  <Company>Microsoft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李仲星</dc:creator>
  <cp:keywords/>
  <dc:description/>
  <cp:lastModifiedBy>yanghw</cp:lastModifiedBy>
  <cp:revision>12</cp:revision>
  <dcterms:created xsi:type="dcterms:W3CDTF">2019-01-22T06:37:00Z</dcterms:created>
  <dcterms:modified xsi:type="dcterms:W3CDTF">2019-02-15T01:55:00Z</dcterms:modified>
</cp:coreProperties>
</file>